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C121940" w:rsidR="0016385D" w:rsidRDefault="004D601C" w:rsidP="00726B2B">
      <w:pPr>
        <w:pStyle w:val="PaperTitle"/>
        <w:spacing w:before="0"/>
        <w:contextualSpacing/>
      </w:pPr>
      <w:bookmarkStart w:id="0" w:name="_Hlk199355559"/>
      <w:r w:rsidRPr="007C0D57">
        <w:rPr>
          <w:bCs/>
        </w:rPr>
        <w:t xml:space="preserve">Evaluating Student Perceptions of Conversational Agents in Mathematics </w:t>
      </w:r>
      <w:r w:rsidR="00553089">
        <w:rPr>
          <w:bCs/>
        </w:rPr>
        <w:t>Learning</w:t>
      </w:r>
      <w:r w:rsidR="00BE5FD1" w:rsidRPr="002B5648">
        <w:t xml:space="preserve"> </w:t>
      </w:r>
    </w:p>
    <w:p w14:paraId="6DAC70B3" w14:textId="509FE1C7" w:rsidR="00D72E33" w:rsidRPr="00726B2B" w:rsidRDefault="00D72E33" w:rsidP="00726B2B">
      <w:pPr>
        <w:pStyle w:val="AuthorName"/>
        <w:contextualSpacing/>
        <w:rPr>
          <w:szCs w:val="28"/>
          <w:lang w:val="en-GB" w:eastAsia="en-GB"/>
        </w:rPr>
      </w:pPr>
      <w:r w:rsidRPr="00726B2B">
        <w:rPr>
          <w:szCs w:val="28"/>
        </w:rPr>
        <w:t>Choo Peng Tan</w:t>
      </w:r>
      <w:r w:rsidRPr="00726B2B">
        <w:rPr>
          <w:szCs w:val="28"/>
          <w:vertAlign w:val="superscript"/>
        </w:rPr>
        <w:t>1,</w:t>
      </w:r>
      <w:r w:rsidR="004F0CAF">
        <w:rPr>
          <w:szCs w:val="28"/>
          <w:vertAlign w:val="superscript"/>
        </w:rPr>
        <w:t xml:space="preserve"> </w:t>
      </w:r>
      <w:r w:rsidRPr="00726B2B">
        <w:rPr>
          <w:szCs w:val="28"/>
          <w:vertAlign w:val="superscript"/>
        </w:rPr>
        <w:t>2</w:t>
      </w:r>
      <w:r w:rsidR="004F0CAF">
        <w:rPr>
          <w:szCs w:val="28"/>
          <w:vertAlign w:val="superscript"/>
        </w:rPr>
        <w:t>,</w:t>
      </w:r>
      <w:r w:rsidRPr="00726B2B">
        <w:rPr>
          <w:szCs w:val="28"/>
          <w:vertAlign w:val="superscript"/>
        </w:rPr>
        <w:t xml:space="preserve"> a)</w:t>
      </w:r>
      <w:r w:rsidRPr="00726B2B">
        <w:rPr>
          <w:szCs w:val="28"/>
        </w:rPr>
        <w:t xml:space="preserve"> and Choo Kim Tan</w:t>
      </w:r>
      <w:r w:rsidRPr="00726B2B">
        <w:rPr>
          <w:szCs w:val="28"/>
          <w:vertAlign w:val="superscript"/>
        </w:rPr>
        <w:t>1,</w:t>
      </w:r>
      <w:r w:rsidR="004F0CAF">
        <w:rPr>
          <w:szCs w:val="28"/>
          <w:vertAlign w:val="superscript"/>
        </w:rPr>
        <w:t xml:space="preserve"> </w:t>
      </w:r>
      <w:r w:rsidRPr="00726B2B">
        <w:rPr>
          <w:szCs w:val="28"/>
          <w:vertAlign w:val="superscript"/>
        </w:rPr>
        <w:t>2</w:t>
      </w:r>
      <w:r w:rsidR="004F0CAF">
        <w:rPr>
          <w:szCs w:val="28"/>
          <w:vertAlign w:val="superscript"/>
        </w:rPr>
        <w:t>,</w:t>
      </w:r>
      <w:r w:rsidRPr="00726B2B">
        <w:rPr>
          <w:szCs w:val="28"/>
          <w:vertAlign w:val="superscript"/>
        </w:rPr>
        <w:t xml:space="preserve"> b)</w:t>
      </w:r>
    </w:p>
    <w:p w14:paraId="4E08263A" w14:textId="0AF4AC5F" w:rsidR="00F53872" w:rsidRPr="00E25659" w:rsidRDefault="00F53872" w:rsidP="00726B2B">
      <w:pPr>
        <w:pBdr>
          <w:top w:val="nil"/>
          <w:left w:val="nil"/>
          <w:bottom w:val="nil"/>
          <w:right w:val="nil"/>
          <w:between w:val="nil"/>
        </w:pBdr>
        <w:contextualSpacing/>
        <w:jc w:val="center"/>
        <w:rPr>
          <w:i/>
          <w:iCs/>
          <w:color w:val="000000"/>
          <w:sz w:val="20"/>
        </w:rPr>
      </w:pPr>
      <w:r w:rsidRPr="00E25659">
        <w:rPr>
          <w:i/>
          <w:iCs/>
          <w:color w:val="000000"/>
          <w:sz w:val="20"/>
          <w:vertAlign w:val="superscript"/>
        </w:rPr>
        <w:t>1</w:t>
      </w:r>
      <w:r w:rsidRPr="00E25659">
        <w:rPr>
          <w:i/>
          <w:iCs/>
          <w:color w:val="000000"/>
          <w:sz w:val="20"/>
        </w:rPr>
        <w:t xml:space="preserve">Faculty of Information Science and Technology, Multimedia University, Jalan Ayer Keroh Lama, 75450, Bukit Beruang, </w:t>
      </w:r>
      <w:r w:rsidR="00B171D6" w:rsidRPr="00E25659">
        <w:rPr>
          <w:i/>
          <w:iCs/>
          <w:color w:val="000000"/>
          <w:sz w:val="20"/>
        </w:rPr>
        <w:t xml:space="preserve">Melaka, </w:t>
      </w:r>
      <w:r w:rsidRPr="00E25659">
        <w:rPr>
          <w:i/>
          <w:iCs/>
          <w:color w:val="000000"/>
          <w:sz w:val="20"/>
        </w:rPr>
        <w:t>Malaysia</w:t>
      </w:r>
      <w:r w:rsidR="00C852D2" w:rsidRPr="00E25659">
        <w:rPr>
          <w:i/>
          <w:iCs/>
          <w:color w:val="000000"/>
          <w:sz w:val="20"/>
        </w:rPr>
        <w:t>.</w:t>
      </w:r>
    </w:p>
    <w:p w14:paraId="29AF5D55" w14:textId="678580E4" w:rsidR="00F53872" w:rsidRPr="00726B2B" w:rsidRDefault="00F53872" w:rsidP="00726B2B">
      <w:pPr>
        <w:pBdr>
          <w:top w:val="nil"/>
          <w:left w:val="nil"/>
          <w:bottom w:val="nil"/>
          <w:right w:val="nil"/>
          <w:between w:val="nil"/>
        </w:pBdr>
        <w:contextualSpacing/>
        <w:jc w:val="center"/>
        <w:rPr>
          <w:i/>
          <w:iCs/>
          <w:color w:val="000000"/>
          <w:sz w:val="20"/>
        </w:rPr>
      </w:pPr>
      <w:r w:rsidRPr="00E25659">
        <w:rPr>
          <w:i/>
          <w:iCs/>
          <w:color w:val="000000"/>
          <w:sz w:val="20"/>
          <w:vertAlign w:val="superscript"/>
        </w:rPr>
        <w:t>2</w:t>
      </w:r>
      <w:r w:rsidRPr="00E25659">
        <w:rPr>
          <w:i/>
          <w:iCs/>
          <w:color w:val="000000"/>
          <w:sz w:val="20"/>
        </w:rPr>
        <w:t xml:space="preserve">Centre for Intelligent Cloud Computing, CoE for Advanced Cloud, Multimedia University, Jalan Ayer Keroh Lama, 75450, Bukit Beruang, </w:t>
      </w:r>
      <w:r w:rsidR="00B171D6" w:rsidRPr="00E25659">
        <w:rPr>
          <w:i/>
          <w:iCs/>
          <w:color w:val="000000"/>
          <w:sz w:val="20"/>
        </w:rPr>
        <w:t xml:space="preserve">Melaka, </w:t>
      </w:r>
      <w:r w:rsidRPr="00E25659">
        <w:rPr>
          <w:i/>
          <w:iCs/>
          <w:color w:val="000000"/>
          <w:sz w:val="20"/>
        </w:rPr>
        <w:t>Malaysia</w:t>
      </w:r>
      <w:r w:rsidR="00C852D2">
        <w:rPr>
          <w:i/>
          <w:iCs/>
          <w:color w:val="000000"/>
          <w:sz w:val="20"/>
        </w:rPr>
        <w:t>.</w:t>
      </w:r>
    </w:p>
    <w:p w14:paraId="55231564" w14:textId="6F5C0A64" w:rsidR="00D72E33" w:rsidRPr="00F53872" w:rsidRDefault="00D72E33" w:rsidP="00726B2B">
      <w:pPr>
        <w:pStyle w:val="AuthorAffiliation"/>
        <w:contextualSpacing/>
        <w:rPr>
          <w:i w:val="0"/>
          <w:iCs/>
        </w:rPr>
      </w:pPr>
    </w:p>
    <w:p w14:paraId="3DF87C30" w14:textId="567C8064" w:rsidR="00D72E33" w:rsidRPr="00E25659" w:rsidRDefault="00D72E33" w:rsidP="00726B2B">
      <w:pPr>
        <w:pStyle w:val="AuthorName"/>
        <w:spacing w:before="0" w:after="0"/>
        <w:contextualSpacing/>
        <w:rPr>
          <w:i/>
          <w:iCs/>
          <w:sz w:val="20"/>
        </w:rPr>
      </w:pPr>
      <w:r w:rsidRPr="00E25659">
        <w:rPr>
          <w:i/>
          <w:iCs/>
          <w:sz w:val="20"/>
          <w:vertAlign w:val="superscript"/>
        </w:rPr>
        <w:t>a)</w:t>
      </w:r>
      <w:r w:rsidRPr="00E25659">
        <w:rPr>
          <w:i/>
          <w:iCs/>
          <w:sz w:val="20"/>
        </w:rPr>
        <w:t xml:space="preserve"> Corresponding author: cptan@mmu.edu.my</w:t>
      </w:r>
      <w:r w:rsidRPr="00E25659">
        <w:rPr>
          <w:i/>
          <w:iCs/>
          <w:sz w:val="20"/>
        </w:rPr>
        <w:br/>
      </w:r>
      <w:r w:rsidRPr="00E25659">
        <w:rPr>
          <w:i/>
          <w:iCs/>
          <w:sz w:val="20"/>
          <w:vertAlign w:val="superscript"/>
        </w:rPr>
        <w:t>b)</w:t>
      </w:r>
      <w:r w:rsidR="00E25659">
        <w:rPr>
          <w:i/>
          <w:iCs/>
          <w:sz w:val="20"/>
          <w:vertAlign w:val="superscript"/>
        </w:rPr>
        <w:t xml:space="preserve"> </w:t>
      </w:r>
      <w:r w:rsidRPr="00E25659">
        <w:rPr>
          <w:i/>
          <w:iCs/>
          <w:sz w:val="20"/>
        </w:rPr>
        <w:t>cktan@mmu.ed</w:t>
      </w:r>
      <w:r w:rsidR="00E25659">
        <w:rPr>
          <w:i/>
          <w:iCs/>
          <w:sz w:val="20"/>
        </w:rPr>
        <w:t>u</w:t>
      </w:r>
      <w:r w:rsidRPr="00E25659">
        <w:rPr>
          <w:i/>
          <w:iCs/>
          <w:sz w:val="20"/>
        </w:rPr>
        <w:t>.my</w:t>
      </w:r>
    </w:p>
    <w:bookmarkEnd w:id="0"/>
    <w:p w14:paraId="410F2556" w14:textId="5181004F" w:rsidR="004D601C" w:rsidRPr="001F21DF" w:rsidRDefault="0016385D" w:rsidP="00726B2B">
      <w:pPr>
        <w:pStyle w:val="Abstract"/>
        <w:ind w:left="288" w:right="288"/>
        <w:contextualSpacing/>
      </w:pPr>
      <w:r w:rsidRPr="00075EA6">
        <w:rPr>
          <w:b/>
          <w:bCs/>
        </w:rPr>
        <w:t>Abstract.</w:t>
      </w:r>
      <w:r w:rsidRPr="00075EA6">
        <w:t xml:space="preserve"> </w:t>
      </w:r>
      <w:r w:rsidR="004D601C" w:rsidRPr="001F21DF">
        <w:t>The in</w:t>
      </w:r>
      <w:r w:rsidR="007D53AA">
        <w:t>corporation</w:t>
      </w:r>
      <w:r w:rsidR="004D601C" w:rsidRPr="001F21DF">
        <w:t xml:space="preserve"> of </w:t>
      </w:r>
      <w:r w:rsidR="007D53AA">
        <w:t>c</w:t>
      </w:r>
      <w:r w:rsidR="004D601C" w:rsidRPr="001F21DF">
        <w:t xml:space="preserve">onversational </w:t>
      </w:r>
      <w:r w:rsidR="007D53AA">
        <w:t>a</w:t>
      </w:r>
      <w:r w:rsidR="004D601C" w:rsidRPr="001F21DF">
        <w:t>gent (CA) in educational has become</w:t>
      </w:r>
      <w:r w:rsidR="007D53AA">
        <w:t xml:space="preserve"> a ubiquitous trend</w:t>
      </w:r>
      <w:r w:rsidR="004D601C" w:rsidRPr="001F21DF">
        <w:t xml:space="preserve"> due to </w:t>
      </w:r>
      <w:r w:rsidR="007D53AA">
        <w:t>it</w:t>
      </w:r>
      <w:r w:rsidR="008330FF">
        <w:t xml:space="preserve">s </w:t>
      </w:r>
      <w:r w:rsidR="004D601C" w:rsidRPr="001F21DF">
        <w:t>ability to provide</w:t>
      </w:r>
      <w:r w:rsidR="007D53AA">
        <w:t xml:space="preserve"> instant and</w:t>
      </w:r>
      <w:r w:rsidR="004D601C" w:rsidRPr="001F21DF">
        <w:t xml:space="preserve"> interactive </w:t>
      </w:r>
      <w:r w:rsidR="007D53AA">
        <w:t xml:space="preserve">individualized </w:t>
      </w:r>
      <w:r w:rsidR="004D601C" w:rsidRPr="001F21DF">
        <w:t xml:space="preserve">support for students. This paper investigates </w:t>
      </w:r>
      <w:r w:rsidR="007D53AA">
        <w:t>undergraduate</w:t>
      </w:r>
      <w:r w:rsidR="004D601C" w:rsidRPr="001F21DF">
        <w:t>s' perceptions of th</w:t>
      </w:r>
      <w:r w:rsidR="00D92DA3">
        <w:t>e</w:t>
      </w:r>
      <w:r w:rsidR="004D601C" w:rsidRPr="001F21DF">
        <w:t xml:space="preserve"> use of CA in</w:t>
      </w:r>
      <w:r w:rsidR="007D53AA">
        <w:t xml:space="preserve"> their mathematics learning</w:t>
      </w:r>
      <w:r w:rsidR="004D601C" w:rsidRPr="001F21DF">
        <w:t xml:space="preserve">. </w:t>
      </w:r>
      <w:r w:rsidR="007D53AA">
        <w:t>A</w:t>
      </w:r>
      <w:r w:rsidR="004D601C" w:rsidRPr="001F21DF">
        <w:t xml:space="preserve"> mixed-method approach with convenient sampling</w:t>
      </w:r>
      <w:r w:rsidR="007D53AA">
        <w:t xml:space="preserve"> is adopted</w:t>
      </w:r>
      <w:r w:rsidR="00BD2D97">
        <w:t xml:space="preserve"> with a </w:t>
      </w:r>
      <w:r w:rsidR="004D601C" w:rsidRPr="001F21DF">
        <w:t>5 Likert-scales survey</w:t>
      </w:r>
      <w:r w:rsidR="00480963">
        <w:t xml:space="preserve"> </w:t>
      </w:r>
      <w:r w:rsidR="00BD2D97">
        <w:t>and interviews as instruments</w:t>
      </w:r>
      <w:r w:rsidR="004D601C" w:rsidRPr="001F21DF">
        <w:t>. Th</w:t>
      </w:r>
      <w:r w:rsidR="00480963">
        <w:t>is study reveals</w:t>
      </w:r>
      <w:r w:rsidR="004D601C" w:rsidRPr="001F21DF">
        <w:t xml:space="preserve"> that </w:t>
      </w:r>
      <w:r w:rsidR="00480963" w:rsidRPr="00D92DA3">
        <w:t>students</w:t>
      </w:r>
      <w:r w:rsidR="00D92DA3" w:rsidRPr="00D92DA3">
        <w:t xml:space="preserve"> </w:t>
      </w:r>
      <w:r w:rsidR="00480963">
        <w:rPr>
          <w:rFonts w:hint="eastAsia"/>
          <w:lang w:eastAsia="zh-CN"/>
        </w:rPr>
        <w:t>perce</w:t>
      </w:r>
      <w:r w:rsidR="00480963">
        <w:rPr>
          <w:lang w:eastAsia="zh-CN"/>
        </w:rPr>
        <w:t>ive positively towards the incorporation</w:t>
      </w:r>
      <w:r w:rsidR="00480963">
        <w:rPr>
          <w:rFonts w:hint="eastAsia"/>
          <w:lang w:eastAsia="zh-CN"/>
        </w:rPr>
        <w:t xml:space="preserve"> of CA</w:t>
      </w:r>
      <w:r w:rsidR="00480963" w:rsidRPr="00D92DA3">
        <w:t xml:space="preserve"> </w:t>
      </w:r>
      <w:r w:rsidR="00D92DA3" w:rsidRPr="00D92DA3">
        <w:t>in</w:t>
      </w:r>
      <w:r w:rsidR="00480963">
        <w:t xml:space="preserve"> their</w:t>
      </w:r>
      <w:r w:rsidR="00D92DA3" w:rsidRPr="00D92DA3">
        <w:t xml:space="preserve"> mathematics, </w:t>
      </w:r>
      <w:r w:rsidR="001E40CC">
        <w:t>irrespective</w:t>
      </w:r>
      <w:r w:rsidR="00D92DA3" w:rsidRPr="00D92DA3">
        <w:t xml:space="preserve"> of their</w:t>
      </w:r>
      <w:r w:rsidR="001E40CC">
        <w:t xml:space="preserve"> gender or</w:t>
      </w:r>
      <w:r w:rsidR="00D92DA3" w:rsidRPr="00D92DA3">
        <w:t xml:space="preserve"> academic performance</w:t>
      </w:r>
      <w:r w:rsidR="008330FF">
        <w:t xml:space="preserve"> level</w:t>
      </w:r>
      <w:r w:rsidR="00D92DA3" w:rsidRPr="00D92DA3">
        <w:t>.</w:t>
      </w:r>
      <w:r w:rsidR="00D92DA3">
        <w:t xml:space="preserve"> </w:t>
      </w:r>
      <w:r w:rsidR="004D601C" w:rsidRPr="001F21DF">
        <w:t>This study may</w:t>
      </w:r>
      <w:r w:rsidR="001E40CC">
        <w:t xml:space="preserve"> provide insights</w:t>
      </w:r>
      <w:r w:rsidR="004D601C" w:rsidRPr="001F21DF">
        <w:t xml:space="preserve"> regarding the relevance of these factors in educational CAs and to all stakeholders to optimize CAs</w:t>
      </w:r>
      <w:r w:rsidR="001E40CC">
        <w:t xml:space="preserve"> in</w:t>
      </w:r>
      <w:r w:rsidR="004D601C" w:rsidRPr="001F21DF">
        <w:t xml:space="preserve"> enhanc</w:t>
      </w:r>
      <w:r w:rsidR="001E40CC">
        <w:t>ing</w:t>
      </w:r>
      <w:r w:rsidR="004D601C" w:rsidRPr="001F21DF">
        <w:t xml:space="preserve"> </w:t>
      </w:r>
      <w:r w:rsidR="004D601C">
        <w:t>undergraduates</w:t>
      </w:r>
      <w:r w:rsidR="001E40CC">
        <w:t xml:space="preserve"> (mathematics)</w:t>
      </w:r>
      <w:r w:rsidR="004D601C">
        <w:t xml:space="preserve"> </w:t>
      </w:r>
      <w:r w:rsidR="004D601C" w:rsidRPr="001F21DF">
        <w:t>learning experiences.</w:t>
      </w:r>
    </w:p>
    <w:p w14:paraId="5240E3FB" w14:textId="333055FF" w:rsidR="003A287B" w:rsidRPr="00F53872" w:rsidRDefault="440BD143" w:rsidP="00726B2B">
      <w:pPr>
        <w:pStyle w:val="Heading1"/>
        <w:contextualSpacing/>
      </w:pPr>
      <w:r>
        <w:t>introduction</w:t>
      </w:r>
    </w:p>
    <w:p w14:paraId="20541963" w14:textId="0CDE9EE4" w:rsidR="00D5655E" w:rsidRPr="00D742E8" w:rsidRDefault="004D601C" w:rsidP="00726B2B">
      <w:pPr>
        <w:pStyle w:val="Paragraph"/>
        <w:ind w:firstLine="288"/>
        <w:contextualSpacing/>
      </w:pPr>
      <w:r w:rsidRPr="00D742E8">
        <w:t xml:space="preserve">The rapid </w:t>
      </w:r>
      <w:r w:rsidR="001E40CC" w:rsidRPr="00D742E8">
        <w:t>growth</w:t>
      </w:r>
      <w:r w:rsidRPr="00D742E8">
        <w:t xml:space="preserve"> of artificial intelligence (AI) has brought </w:t>
      </w:r>
      <w:r w:rsidR="008962CA" w:rsidRPr="00D742E8">
        <w:t>transformative</w:t>
      </w:r>
      <w:r w:rsidRPr="00D742E8">
        <w:t xml:space="preserve"> changes in many </w:t>
      </w:r>
      <w:r w:rsidR="009069E8" w:rsidRPr="00D742E8">
        <w:t>industries</w:t>
      </w:r>
      <w:r w:rsidR="001331DD" w:rsidRPr="00D742E8">
        <w:t xml:space="preserve"> including education</w:t>
      </w:r>
      <w:r w:rsidR="008962CA" w:rsidRPr="00D742E8">
        <w:t xml:space="preserve">. </w:t>
      </w:r>
      <w:r w:rsidR="00D5655E" w:rsidRPr="00D742E8">
        <w:t>Traditional teaching methods often result in student disengagement</w:t>
      </w:r>
      <w:r w:rsidR="00974C0E">
        <w:t xml:space="preserve"> [1]</w:t>
      </w:r>
      <w:r w:rsidR="009069E8" w:rsidRPr="00D742E8">
        <w:t xml:space="preserve">. Thus, </w:t>
      </w:r>
      <w:r w:rsidR="00D5655E" w:rsidRPr="00D742E8">
        <w:t>the</w:t>
      </w:r>
      <w:r w:rsidR="009069E8" w:rsidRPr="00D742E8">
        <w:t>re is</w:t>
      </w:r>
      <w:r w:rsidR="00D5655E" w:rsidRPr="00D742E8">
        <w:t xml:space="preserve"> need for innovative pedagogies that integrate ICT, such as e-learning and educational software</w:t>
      </w:r>
      <w:r w:rsidR="00974C0E">
        <w:t xml:space="preserve"> [2]</w:t>
      </w:r>
      <w:r w:rsidR="00EE6F19">
        <w:t xml:space="preserve">. </w:t>
      </w:r>
      <w:r w:rsidR="008962CA" w:rsidRPr="00D742E8">
        <w:t>Conversational agents (CAs), also known as chatbots or virtual assistants, one of the AI tools, have gained prominence and being widely used in various sectors, including education. CA</w:t>
      </w:r>
      <w:r w:rsidR="00C81E24" w:rsidRPr="00D742E8">
        <w:t xml:space="preserve"> i</w:t>
      </w:r>
      <w:r w:rsidR="008962CA" w:rsidRPr="00D742E8">
        <w:t xml:space="preserve">s </w:t>
      </w:r>
      <w:r w:rsidR="00C81E24" w:rsidRPr="00D742E8">
        <w:t>an automated</w:t>
      </w:r>
      <w:r w:rsidR="008962CA" w:rsidRPr="00D742E8">
        <w:t xml:space="preserve"> AI</w:t>
      </w:r>
      <w:r w:rsidR="00C81E24" w:rsidRPr="00D742E8">
        <w:t xml:space="preserve"> computer program</w:t>
      </w:r>
      <w:r w:rsidR="008962CA" w:rsidRPr="00D742E8">
        <w:t xml:space="preserve"> designed to simulate human-like interactions with human users to provide instant responses and personalized support in assisting various tasks through text or voice-based communication</w:t>
      </w:r>
      <w:r w:rsidR="00974C0E">
        <w:t xml:space="preserve"> [3]</w:t>
      </w:r>
      <w:r w:rsidR="008962CA" w:rsidRPr="00D742E8">
        <w:t>. Meanwhile, there has been a notable increase in student access to new technologies</w:t>
      </w:r>
      <w:r w:rsidR="00974C0E">
        <w:t xml:space="preserve"> [4]</w:t>
      </w:r>
      <w:r w:rsidR="008962CA" w:rsidRPr="00D742E8">
        <w:t>. This technological growth benefits both students and educators by leveraging information and communications technology (ICT) to accelerate learning and improve engagement.</w:t>
      </w:r>
    </w:p>
    <w:p w14:paraId="3477359C" w14:textId="51E94217" w:rsidR="00D5655E" w:rsidRPr="00D742E8" w:rsidRDefault="00340B41" w:rsidP="00726B2B">
      <w:pPr>
        <w:pStyle w:val="Paragraph"/>
        <w:ind w:firstLine="288"/>
        <w:contextualSpacing/>
      </w:pPr>
      <w:r w:rsidRPr="00D742E8">
        <w:t>CAs</w:t>
      </w:r>
      <w:r w:rsidR="00A658B2" w:rsidRPr="00D742E8">
        <w:t xml:space="preserve"> have gained prominence</w:t>
      </w:r>
      <w:r w:rsidR="00D5655E" w:rsidRPr="00D742E8">
        <w:t xml:space="preserve"> due to </w:t>
      </w:r>
      <w:r w:rsidR="00A658B2" w:rsidRPr="00D742E8">
        <w:t xml:space="preserve">their ability to engage students in interactive learning environments, offering real-time </w:t>
      </w:r>
      <w:r w:rsidR="003F4593" w:rsidRPr="00D742E8">
        <w:t xml:space="preserve">or immediate </w:t>
      </w:r>
      <w:r w:rsidR="00A658B2" w:rsidRPr="00D742E8">
        <w:t>feedback</w:t>
      </w:r>
      <w:r w:rsidR="00974C0E">
        <w:t xml:space="preserve"> [5]</w:t>
      </w:r>
      <w:r w:rsidR="00D5655E" w:rsidRPr="00D742E8">
        <w:rPr>
          <w:noProof/>
        </w:rPr>
        <w:t>,</w:t>
      </w:r>
      <w:r w:rsidR="00D5655E" w:rsidRPr="00D742E8">
        <w:t xml:space="preserve"> assist with learning activities</w:t>
      </w:r>
      <w:r w:rsidR="00974C0E">
        <w:t xml:space="preserve"> [6]</w:t>
      </w:r>
      <w:r w:rsidR="00D5655E" w:rsidRPr="00D742E8">
        <w:t>,</w:t>
      </w:r>
      <w:r w:rsidR="00501E95" w:rsidRPr="00D742E8">
        <w:t xml:space="preserve"> foster a more enjoyable and personalized learning environment</w:t>
      </w:r>
      <w:r w:rsidR="00F12150" w:rsidRPr="00D742E8">
        <w:t xml:space="preserve"> </w:t>
      </w:r>
      <w:r w:rsidR="00974C0E">
        <w:t>[7]</w:t>
      </w:r>
      <w:r w:rsidR="00501E95" w:rsidRPr="00D742E8">
        <w:t xml:space="preserve">, </w:t>
      </w:r>
      <w:r w:rsidR="00D5655E" w:rsidRPr="00D742E8">
        <w:t xml:space="preserve">and, hence, </w:t>
      </w:r>
      <w:r w:rsidR="00501E95" w:rsidRPr="00D742E8">
        <w:t>enhance e-learning satisfaction, and reduce dropout rates</w:t>
      </w:r>
      <w:r w:rsidR="00D5655E" w:rsidRPr="00D742E8">
        <w:t xml:space="preserve"> at which </w:t>
      </w:r>
      <w:r w:rsidR="00974C0E">
        <w:t xml:space="preserve">[8] </w:t>
      </w:r>
      <w:r w:rsidR="003F4593" w:rsidRPr="00D742E8">
        <w:t>emphasize that</w:t>
      </w:r>
      <w:r w:rsidR="001D593B" w:rsidRPr="00D742E8">
        <w:t xml:space="preserve"> CAs support scaffolding and interactivity</w:t>
      </w:r>
      <w:r w:rsidR="003F4593" w:rsidRPr="00D742E8">
        <w:t>,</w:t>
      </w:r>
      <w:r w:rsidR="001D593B" w:rsidRPr="00D742E8">
        <w:rPr>
          <w:rFonts w:eastAsia="Times New Roman"/>
        </w:rPr>
        <w:t xml:space="preserve"> significantly increase students' enjoyment of learning while alleviating their anxiety</w:t>
      </w:r>
      <w:r w:rsidR="00974C0E">
        <w:rPr>
          <w:rFonts w:eastAsia="Times New Roman"/>
        </w:rPr>
        <w:t xml:space="preserve"> [9</w:t>
      </w:r>
      <w:r w:rsidR="00EE6F19">
        <w:rPr>
          <w:rFonts w:eastAsia="Times New Roman"/>
        </w:rPr>
        <w:t>]</w:t>
      </w:r>
      <w:r w:rsidR="00F37C0E" w:rsidRPr="00D742E8">
        <w:rPr>
          <w:rFonts w:eastAsia="Times New Roman"/>
        </w:rPr>
        <w:t xml:space="preserve">. </w:t>
      </w:r>
      <w:r w:rsidR="00EC55BC" w:rsidRPr="00D742E8">
        <w:rPr>
          <w:rFonts w:eastAsia="Times New Roman"/>
        </w:rPr>
        <w:t>CAs used i</w:t>
      </w:r>
      <w:r w:rsidR="00D5655E" w:rsidRPr="00D742E8">
        <w:t>n mathematics education can help explain concepts, solve problems, and provide hints tailored to the learner's progress</w:t>
      </w:r>
      <w:r w:rsidR="00436BD8">
        <w:t xml:space="preserve"> [6], [10]</w:t>
      </w:r>
      <w:r w:rsidR="00D5655E" w:rsidRPr="00D742E8">
        <w:t xml:space="preserve">. </w:t>
      </w:r>
      <w:r w:rsidR="00D5655E" w:rsidRPr="00D742E8">
        <w:rPr>
          <w:rFonts w:eastAsia="Times New Roman"/>
        </w:rPr>
        <w:t>All these, in turn, promote a positive attitude towards students learning.</w:t>
      </w:r>
    </w:p>
    <w:p w14:paraId="48811520" w14:textId="14F636F2" w:rsidR="00400882" w:rsidRPr="00D742E8" w:rsidRDefault="004D601C" w:rsidP="00726B2B">
      <w:pPr>
        <w:pStyle w:val="Paragraph"/>
        <w:ind w:firstLine="288"/>
        <w:contextualSpacing/>
      </w:pPr>
      <w:r w:rsidRPr="00D742E8">
        <w:t>Studies have shown that when technologies are perceived as easy to use</w:t>
      </w:r>
      <w:r w:rsidR="00285E47" w:rsidRPr="00D742E8">
        <w:t xml:space="preserve"> and useful</w:t>
      </w:r>
      <w:r w:rsidRPr="00D742E8">
        <w:t xml:space="preserve">, their adoption is more likely, </w:t>
      </w:r>
      <w:r w:rsidR="008B563F" w:rsidRPr="00D742E8">
        <w:t>which</w:t>
      </w:r>
      <w:r w:rsidRPr="00D742E8">
        <w:t xml:space="preserve"> </w:t>
      </w:r>
      <w:r w:rsidR="008B563F" w:rsidRPr="00D742E8">
        <w:t>eventually benefits</w:t>
      </w:r>
      <w:r w:rsidRPr="00D742E8">
        <w:t xml:space="preserve"> both users and service providers. These factors have been widely studied in various technological innovations, but their relevance in the domain of </w:t>
      </w:r>
      <w:r w:rsidR="008B563F" w:rsidRPr="00D742E8">
        <w:t xml:space="preserve">educational </w:t>
      </w:r>
      <w:r w:rsidR="00340B41" w:rsidRPr="00D742E8">
        <w:t>CAs</w:t>
      </w:r>
      <w:r w:rsidR="008B563F" w:rsidRPr="00D742E8">
        <w:t xml:space="preserve"> </w:t>
      </w:r>
      <w:r w:rsidRPr="00D742E8">
        <w:t>remains underexplored</w:t>
      </w:r>
      <w:r w:rsidR="00436BD8">
        <w:t xml:space="preserve"> [11], [12]</w:t>
      </w:r>
      <w:r w:rsidRPr="00D742E8">
        <w:t xml:space="preserve">. Understanding students' perceptions of CAs' usefulness and ease of use is </w:t>
      </w:r>
      <w:r w:rsidR="007212F4" w:rsidRPr="00D742E8">
        <w:t>important</w:t>
      </w:r>
      <w:r w:rsidRPr="00D742E8">
        <w:t xml:space="preserve"> for designers, educators and all stakeholders to optimize the tools and ensure their effective adoption and success</w:t>
      </w:r>
      <w:r w:rsidR="00436BD8">
        <w:t xml:space="preserve"> [13]</w:t>
      </w:r>
      <w:r w:rsidRPr="00D742E8">
        <w:t xml:space="preserve"> </w:t>
      </w:r>
      <w:r w:rsidR="00C97858" w:rsidRPr="00D742E8">
        <w:t>and</w:t>
      </w:r>
      <w:r w:rsidRPr="00D742E8">
        <w:t xml:space="preserve"> enhance user engagement an</w:t>
      </w:r>
      <w:r w:rsidR="00914A93" w:rsidRPr="00D742E8">
        <w:t>d</w:t>
      </w:r>
      <w:r w:rsidRPr="00D742E8">
        <w:t xml:space="preserve"> overall satisfaction </w:t>
      </w:r>
      <w:r w:rsidR="00436BD8">
        <w:t>[12]</w:t>
      </w:r>
      <w:r w:rsidR="00EE6F19">
        <w:t>.</w:t>
      </w:r>
    </w:p>
    <w:p w14:paraId="7D80630A" w14:textId="5CAF3EE3" w:rsidR="00164460" w:rsidRDefault="004D601C" w:rsidP="00726B2B">
      <w:pPr>
        <w:pStyle w:val="Paragraph"/>
        <w:ind w:firstLine="288"/>
        <w:contextualSpacing/>
      </w:pPr>
      <w:r w:rsidRPr="00D742E8">
        <w:t xml:space="preserve">This paper </w:t>
      </w:r>
      <w:r w:rsidR="003E0ADE" w:rsidRPr="00D742E8">
        <w:t>i</w:t>
      </w:r>
      <w:r w:rsidRPr="00D742E8">
        <w:t xml:space="preserve">s to explore students' perceptions of the usefulness and ease of use of </w:t>
      </w:r>
      <w:r w:rsidR="00340B41" w:rsidRPr="00D742E8">
        <w:t>CA</w:t>
      </w:r>
      <w:r w:rsidR="008B563F" w:rsidRPr="00D742E8">
        <w:t xml:space="preserve"> that incorporate</w:t>
      </w:r>
      <w:r w:rsidR="003E0ADE" w:rsidRPr="00D742E8">
        <w:t xml:space="preserve"> in their mathematics learning</w:t>
      </w:r>
      <w:r w:rsidRPr="00D742E8">
        <w:t xml:space="preserve">. </w:t>
      </w:r>
      <w:r w:rsidR="00164460" w:rsidRPr="00D742E8">
        <w:t>The research questions are:</w:t>
      </w:r>
    </w:p>
    <w:p w14:paraId="4A0C7038" w14:textId="77777777" w:rsidR="004F0CAF" w:rsidRPr="00D742E8" w:rsidRDefault="004F0CAF" w:rsidP="00726B2B">
      <w:pPr>
        <w:pStyle w:val="Paragraph"/>
        <w:ind w:firstLine="288"/>
        <w:contextualSpacing/>
      </w:pPr>
    </w:p>
    <w:p w14:paraId="588E859B" w14:textId="7FDEC67E" w:rsidR="00164460" w:rsidRPr="00D742E8" w:rsidRDefault="00164460" w:rsidP="00726B2B">
      <w:pPr>
        <w:pStyle w:val="Paragraph"/>
        <w:ind w:firstLine="288"/>
        <w:contextualSpacing/>
      </w:pPr>
      <w:r w:rsidRPr="00D742E8">
        <w:t xml:space="preserve">RQ1: What </w:t>
      </w:r>
      <w:r w:rsidR="00285E47" w:rsidRPr="00D742E8">
        <w:t>are</w:t>
      </w:r>
      <w:r w:rsidRPr="00D742E8">
        <w:t xml:space="preserve"> </w:t>
      </w:r>
      <w:r w:rsidR="00285E47" w:rsidRPr="00D742E8">
        <w:t xml:space="preserve">students’ overall perception </w:t>
      </w:r>
      <w:r w:rsidRPr="00D742E8">
        <w:t>towards the conversational agent in</w:t>
      </w:r>
      <w:r w:rsidR="00285E47" w:rsidRPr="00D742E8">
        <w:t xml:space="preserve"> their</w:t>
      </w:r>
      <w:r w:rsidRPr="00D742E8">
        <w:t xml:space="preserve"> learning mathematics?</w:t>
      </w:r>
    </w:p>
    <w:p w14:paraId="6CF10BC3" w14:textId="45336BEB" w:rsidR="00164460" w:rsidRPr="00D742E8" w:rsidRDefault="00164460" w:rsidP="00726B2B">
      <w:pPr>
        <w:pStyle w:val="Paragraph"/>
        <w:ind w:firstLine="288"/>
        <w:contextualSpacing/>
      </w:pPr>
      <w:r w:rsidRPr="00D742E8">
        <w:t>RQ2: Are there significant differences in perception based on gender?</w:t>
      </w:r>
    </w:p>
    <w:p w14:paraId="601BC6A7" w14:textId="40A959EA" w:rsidR="006F00F4" w:rsidRPr="00D742E8" w:rsidRDefault="006F00F4" w:rsidP="00726B2B">
      <w:pPr>
        <w:pStyle w:val="Paragraph"/>
        <w:ind w:firstLine="288"/>
        <w:contextualSpacing/>
      </w:pPr>
      <w:r w:rsidRPr="00D742E8">
        <w:t>RQ3: Are there significant differences in perception based on student’s performance level?</w:t>
      </w:r>
    </w:p>
    <w:p w14:paraId="03E36A8E" w14:textId="77777777" w:rsidR="00D742E8" w:rsidRPr="00D742E8" w:rsidRDefault="00D742E8" w:rsidP="00726B2B">
      <w:pPr>
        <w:pStyle w:val="Paragraph"/>
        <w:ind w:firstLine="288"/>
        <w:contextualSpacing/>
      </w:pPr>
    </w:p>
    <w:p w14:paraId="2BCE909F" w14:textId="7E865E7A" w:rsidR="004D601C" w:rsidRPr="00D742E8" w:rsidRDefault="004D601C" w:rsidP="00726B2B">
      <w:pPr>
        <w:pStyle w:val="Paragraph"/>
        <w:ind w:firstLine="288"/>
        <w:contextualSpacing/>
      </w:pPr>
      <w:r w:rsidRPr="00D742E8">
        <w:lastRenderedPageBreak/>
        <w:t>Given the expanding role of AI in education, such research is pivotal for ensuring that CAs can be harnessed effectively to enhance the educational experience.</w:t>
      </w:r>
    </w:p>
    <w:p w14:paraId="7FA01BB7" w14:textId="3C5429A0" w:rsidR="004D601C" w:rsidRDefault="004D601C" w:rsidP="00726B2B">
      <w:pPr>
        <w:pStyle w:val="Heading1"/>
        <w:contextualSpacing/>
      </w:pPr>
      <w:r w:rsidRPr="00EF134E">
        <w:t>Literature Review</w:t>
      </w:r>
    </w:p>
    <w:p w14:paraId="74FF4E66" w14:textId="452705CA" w:rsidR="00CF5D1C" w:rsidRPr="00CF5D1C" w:rsidRDefault="008B563F" w:rsidP="00726B2B">
      <w:pPr>
        <w:pStyle w:val="Paragraph"/>
        <w:ind w:firstLine="288"/>
        <w:contextualSpacing/>
      </w:pPr>
      <w:r>
        <w:t xml:space="preserve">Various </w:t>
      </w:r>
      <w:r w:rsidRPr="00CF5D1C">
        <w:t>technologies have</w:t>
      </w:r>
      <w:r>
        <w:t xml:space="preserve"> been integrated</w:t>
      </w:r>
      <w:r w:rsidR="00CF5D1C" w:rsidRPr="00CF5D1C">
        <w:t xml:space="preserve"> into education</w:t>
      </w:r>
      <w:r>
        <w:t xml:space="preserve"> that</w:t>
      </w:r>
      <w:r w:rsidR="00CF5D1C" w:rsidRPr="00CF5D1C">
        <w:t xml:space="preserve"> has led to significant shifts in teaching and learning methodologies. CAs</w:t>
      </w:r>
      <w:r>
        <w:t xml:space="preserve"> are the most recent AI tools </w:t>
      </w:r>
      <w:r w:rsidR="00DD012D">
        <w:t>used</w:t>
      </w:r>
      <w:r>
        <w:t xml:space="preserve"> in various industries including education which as</w:t>
      </w:r>
      <w:r w:rsidR="00CF5D1C" w:rsidRPr="00CF5D1C">
        <w:t xml:space="preserve"> </w:t>
      </w:r>
      <w:r w:rsidRPr="00CF5D1C">
        <w:t>the most promising innovations</w:t>
      </w:r>
      <w:r>
        <w:t>.</w:t>
      </w:r>
      <w:r w:rsidR="00DD012D">
        <w:t xml:space="preserve"> Educational C</w:t>
      </w:r>
      <w:r>
        <w:t>As are</w:t>
      </w:r>
      <w:r w:rsidRPr="00CF5D1C">
        <w:t xml:space="preserve"> </w:t>
      </w:r>
      <w:r w:rsidR="00CF5D1C" w:rsidRPr="00CF5D1C">
        <w:t>AI-driven systems designed to mimic the knowledge acquisition and interaction style of human teachers</w:t>
      </w:r>
      <w:r w:rsidR="00436BD8">
        <w:t xml:space="preserve"> [14], [15]</w:t>
      </w:r>
      <w:r w:rsidR="00CF5D1C" w:rsidRPr="00CF5D1C">
        <w:t xml:space="preserve">. </w:t>
      </w:r>
    </w:p>
    <w:p w14:paraId="7A2FB0B3" w14:textId="7BF9D943" w:rsidR="00C056EB" w:rsidRDefault="00C056EB" w:rsidP="00726B2B">
      <w:pPr>
        <w:pStyle w:val="Paragraph"/>
        <w:ind w:firstLine="288"/>
        <w:contextualSpacing/>
      </w:pPr>
      <w:r>
        <w:t>S</w:t>
      </w:r>
      <w:r w:rsidR="00CF5D1C" w:rsidRPr="00CF5D1C">
        <w:t xml:space="preserve">tudents generally hold positive views towards </w:t>
      </w:r>
      <w:r w:rsidR="00340B41">
        <w:t>CAs</w:t>
      </w:r>
      <w:r w:rsidR="003D579D">
        <w:t xml:space="preserve"> </w:t>
      </w:r>
      <w:r>
        <w:t xml:space="preserve">and satisfy with CAs </w:t>
      </w:r>
      <w:r w:rsidR="003D579D">
        <w:t>due to</w:t>
      </w:r>
      <w:r w:rsidR="00CF5D1C" w:rsidRPr="00CF5D1C">
        <w:t xml:space="preserve"> their accessibility and the ability to provide </w:t>
      </w:r>
      <w:r w:rsidR="003D579D">
        <w:t>instant</w:t>
      </w:r>
      <w:r>
        <w:t xml:space="preserve">, </w:t>
      </w:r>
      <w:r w:rsidR="00CF5D1C" w:rsidRPr="00CF5D1C">
        <w:t>personalized feedback</w:t>
      </w:r>
      <w:r>
        <w:t xml:space="preserve">, and </w:t>
      </w:r>
      <w:r w:rsidRPr="00CF5D1C">
        <w:t>contextually relevant and easily understandable responses</w:t>
      </w:r>
      <w:r w:rsidR="00436BD8">
        <w:t xml:space="preserve"> [16]</w:t>
      </w:r>
      <w:r w:rsidRPr="00CF5D1C">
        <w:t>.</w:t>
      </w:r>
      <w:r w:rsidR="00CF5D1C" w:rsidRPr="00CF5D1C">
        <w:t xml:space="preserve"> CAs are also seen as tools that foster self-directed learning</w:t>
      </w:r>
      <w:r w:rsidR="00436BD8">
        <w:t xml:space="preserve"> [17]</w:t>
      </w:r>
      <w:r w:rsidR="00CF5D1C" w:rsidRPr="00CF5D1C">
        <w:t xml:space="preserve">. For example, </w:t>
      </w:r>
      <w:r w:rsidR="00436BD8">
        <w:t>[18]</w:t>
      </w:r>
      <w:r w:rsidR="00EE6F19">
        <w:t xml:space="preserve"> </w:t>
      </w:r>
      <w:r w:rsidR="00CF5D1C" w:rsidRPr="00CF5D1C">
        <w:t xml:space="preserve">demonstrated that a </w:t>
      </w:r>
      <w:r w:rsidR="00340B41">
        <w:t>CA</w:t>
      </w:r>
      <w:r w:rsidR="00CF5D1C" w:rsidRPr="00CF5D1C">
        <w:t xml:space="preserve"> system significantly improved students’ learning outcomes, particularly in fostering mathematical argumentation skills. </w:t>
      </w:r>
      <w:r w:rsidR="00350C87">
        <w:t>S</w:t>
      </w:r>
      <w:r w:rsidR="00CF5D1C" w:rsidRPr="00CF5D1C">
        <w:t xml:space="preserve">tudents </w:t>
      </w:r>
      <w:r w:rsidR="00350C87">
        <w:t xml:space="preserve">who used CAs in mathematics learning </w:t>
      </w:r>
      <w:r w:rsidR="00CF5D1C" w:rsidRPr="00CF5D1C">
        <w:t>have reported that CAs clarify difficult concepts and offer personalized explanations that traditional instructional methods might not be able to provide</w:t>
      </w:r>
      <w:r w:rsidR="00436BD8">
        <w:t xml:space="preserve"> [19]</w:t>
      </w:r>
      <w:r w:rsidR="00EE6F19">
        <w:t xml:space="preserve">. </w:t>
      </w:r>
      <w:r w:rsidR="00350C87">
        <w:t>Furthermore</w:t>
      </w:r>
      <w:r w:rsidR="00CF5D1C" w:rsidRPr="00CF5D1C">
        <w:t xml:space="preserve">, </w:t>
      </w:r>
      <w:r w:rsidR="00350C87">
        <w:t xml:space="preserve">the project </w:t>
      </w:r>
      <w:r w:rsidR="00350C87" w:rsidRPr="00CF5D1C">
        <w:t>of intelligent tutoring systems (ITS),</w:t>
      </w:r>
      <w:r w:rsidR="00350C87">
        <w:t xml:space="preserve"> </w:t>
      </w:r>
      <w:r w:rsidR="00350C87" w:rsidRPr="00CF5D1C">
        <w:t>the concept</w:t>
      </w:r>
      <w:r w:rsidR="00350C87">
        <w:t xml:space="preserve"> is</w:t>
      </w:r>
      <w:r w:rsidR="00350C87" w:rsidRPr="00CF5D1C">
        <w:t xml:space="preserve"> closely related to CAs</w:t>
      </w:r>
      <w:r w:rsidR="00350C87">
        <w:t xml:space="preserve">, by </w:t>
      </w:r>
      <w:r w:rsidR="00436BD8">
        <w:t>[20]</w:t>
      </w:r>
      <w:r w:rsidR="00350C87">
        <w:t xml:space="preserve">, demonstrated that </w:t>
      </w:r>
      <w:r w:rsidR="00CF5D1C" w:rsidRPr="00CF5D1C">
        <w:t>tailored guidance based on students' progress can improve learning outcomes in mathematics</w:t>
      </w:r>
      <w:r w:rsidR="00350C87">
        <w:t>.</w:t>
      </w:r>
      <w:r>
        <w:t xml:space="preserve"> </w:t>
      </w:r>
    </w:p>
    <w:p w14:paraId="4DF570B0" w14:textId="58D7F472" w:rsidR="00CF5D1C" w:rsidRPr="00CF5D1C" w:rsidRDefault="004D53A0" w:rsidP="00726B2B">
      <w:pPr>
        <w:pStyle w:val="Paragraph"/>
        <w:ind w:firstLine="288"/>
        <w:contextualSpacing/>
      </w:pPr>
      <w:r>
        <w:t>Students’ perceptions towards the educational CAs are</w:t>
      </w:r>
      <w:r w:rsidR="00C056EB" w:rsidRPr="00CF5D1C">
        <w:t xml:space="preserve"> </w:t>
      </w:r>
      <w:r w:rsidR="00172DD7">
        <w:t>important</w:t>
      </w:r>
      <w:r>
        <w:t xml:space="preserve"> factors </w:t>
      </w:r>
      <w:r w:rsidR="00572001">
        <w:t>to ensure</w:t>
      </w:r>
      <w:r w:rsidR="00172DD7">
        <w:t xml:space="preserve"> </w:t>
      </w:r>
      <w:r w:rsidR="00572001">
        <w:t>the implementation of educational CAs is effective</w:t>
      </w:r>
      <w:r w:rsidR="00C056EB" w:rsidRPr="00CF5D1C">
        <w:t>.</w:t>
      </w:r>
      <w:r w:rsidR="00172DD7">
        <w:t xml:space="preserve"> Their perceptions</w:t>
      </w:r>
      <w:r w:rsidR="00CF5D1C" w:rsidRPr="00CF5D1C">
        <w:t xml:space="preserve"> are strongly influenced by the perceived usefulness and ease of use of these tools. </w:t>
      </w:r>
      <w:r w:rsidR="00436BD8">
        <w:t>[21]</w:t>
      </w:r>
      <w:r w:rsidR="00172DD7">
        <w:t xml:space="preserve"> mentioned that s</w:t>
      </w:r>
      <w:r w:rsidR="00C056EB">
        <w:t xml:space="preserve">tudents </w:t>
      </w:r>
      <w:r w:rsidR="00C056EB" w:rsidRPr="00CF5D1C">
        <w:t xml:space="preserve">are more likely to use </w:t>
      </w:r>
      <w:r w:rsidR="00C056EB">
        <w:t>the tools</w:t>
      </w:r>
      <w:r w:rsidR="00C056EB" w:rsidRPr="00CF5D1C">
        <w:t xml:space="preserve"> regularly </w:t>
      </w:r>
      <w:r w:rsidR="00C056EB">
        <w:t>w</w:t>
      </w:r>
      <w:r w:rsidR="00CF5D1C" w:rsidRPr="00CF5D1C">
        <w:t xml:space="preserve">hen </w:t>
      </w:r>
      <w:r w:rsidR="00C056EB">
        <w:t>they</w:t>
      </w:r>
      <w:r w:rsidR="00CF5D1C" w:rsidRPr="00CF5D1C">
        <w:t xml:space="preserve"> find technology </w:t>
      </w:r>
      <w:r w:rsidR="00C056EB">
        <w:t xml:space="preserve">is </w:t>
      </w:r>
      <w:r w:rsidR="00CF5D1C" w:rsidRPr="00CF5D1C">
        <w:t xml:space="preserve">useful in achieving their learning goals and easy to navigate. </w:t>
      </w:r>
      <w:r w:rsidR="00BA1894">
        <w:t>Furthermore</w:t>
      </w:r>
      <w:r w:rsidR="00172DD7">
        <w:t>,</w:t>
      </w:r>
      <w:r w:rsidR="00BA1894">
        <w:t xml:space="preserve"> t</w:t>
      </w:r>
      <w:r w:rsidR="00C056EB">
        <w:t>he t</w:t>
      </w:r>
      <w:r w:rsidR="00CF5D1C" w:rsidRPr="00CF5D1C">
        <w:t xml:space="preserve">ools which align with students’ expectations of improving learning outcomes and providing a user-friendly experience foster greater engagement and long-term use </w:t>
      </w:r>
      <w:r w:rsidR="00D558AC">
        <w:t>[13], [22</w:t>
      </w:r>
      <w:r w:rsidR="00EE6F19">
        <w:t>]</w:t>
      </w:r>
      <w:r w:rsidR="00CF5D1C" w:rsidRPr="00CF5D1C">
        <w:t>.</w:t>
      </w:r>
    </w:p>
    <w:p w14:paraId="3C604169" w14:textId="374E6DF3" w:rsidR="002B5A7F" w:rsidRDefault="00284446" w:rsidP="00726B2B">
      <w:pPr>
        <w:pStyle w:val="Paragraph"/>
        <w:ind w:firstLine="288"/>
        <w:contextualSpacing/>
      </w:pPr>
      <w:r>
        <w:t>Often,</w:t>
      </w:r>
      <w:r w:rsidR="00686C61">
        <w:t xml:space="preserve"> </w:t>
      </w:r>
      <w:r w:rsidR="00572001">
        <w:t>m</w:t>
      </w:r>
      <w:r w:rsidR="00767EBA">
        <w:t xml:space="preserve">ales </w:t>
      </w:r>
      <w:r w:rsidR="004D37CF">
        <w:t xml:space="preserve">having higher self-efficacy and </w:t>
      </w:r>
      <w:r>
        <w:t xml:space="preserve">tend to </w:t>
      </w:r>
      <w:r w:rsidR="0085363D">
        <w:t>exhibit</w:t>
      </w:r>
      <w:r>
        <w:t xml:space="preserve"> more positive attitude towards technology than females.</w:t>
      </w:r>
      <w:r w:rsidR="00810E53">
        <w:t xml:space="preserve"> </w:t>
      </w:r>
      <w:r w:rsidR="00572001">
        <w:t xml:space="preserve">Thus, </w:t>
      </w:r>
      <w:r w:rsidR="00572001" w:rsidRPr="00CF5D1C">
        <w:t xml:space="preserve">gender </w:t>
      </w:r>
      <w:r w:rsidR="00572001">
        <w:t xml:space="preserve">could be a significant factor influencing </w:t>
      </w:r>
      <w:r w:rsidR="00572001" w:rsidRPr="00CF5D1C">
        <w:t xml:space="preserve">students’ perceptions of </w:t>
      </w:r>
      <w:r w:rsidR="00572001">
        <w:t xml:space="preserve">CAs. </w:t>
      </w:r>
      <w:r w:rsidR="007778BA">
        <w:t xml:space="preserve">Males are likely </w:t>
      </w:r>
      <w:r w:rsidR="007778BA" w:rsidRPr="00CF5D1C">
        <w:t>to be more comfortable with technology</w:t>
      </w:r>
      <w:r w:rsidR="007778BA">
        <w:t>; hence, they</w:t>
      </w:r>
      <w:r w:rsidR="00767EBA">
        <w:t xml:space="preserve"> </w:t>
      </w:r>
      <w:r w:rsidR="00572001">
        <w:t xml:space="preserve">often </w:t>
      </w:r>
      <w:r w:rsidR="00767EBA" w:rsidRPr="00CF5D1C">
        <w:t xml:space="preserve">show more favorable attitudes towards </w:t>
      </w:r>
      <w:r w:rsidR="006959AF">
        <w:t>technology</w:t>
      </w:r>
      <w:r w:rsidR="00767EBA" w:rsidRPr="00CF5D1C">
        <w:t xml:space="preserve"> learning tools</w:t>
      </w:r>
      <w:r w:rsidR="00767EBA">
        <w:t xml:space="preserve"> </w:t>
      </w:r>
      <w:r w:rsidR="00D558AC">
        <w:t xml:space="preserve"> [23]</w:t>
      </w:r>
      <w:r w:rsidR="00CF5D1C" w:rsidRPr="00CF5D1C">
        <w:t>. Con</w:t>
      </w:r>
      <w:r w:rsidR="007778BA">
        <w:t>trarily,</w:t>
      </w:r>
      <w:r w:rsidR="00CF5D1C" w:rsidRPr="00CF5D1C">
        <w:t xml:space="preserve"> </w:t>
      </w:r>
      <w:r w:rsidR="00A14A2C">
        <w:t xml:space="preserve">females </w:t>
      </w:r>
      <w:r w:rsidR="0085363D">
        <w:t>might show more</w:t>
      </w:r>
      <w:r w:rsidR="00911CEE">
        <w:t xml:space="preserve"> higher anxiety level or cautions</w:t>
      </w:r>
      <w:r w:rsidR="002930E2">
        <w:t xml:space="preserve"> attitudes</w:t>
      </w:r>
      <w:r w:rsidR="00911CEE">
        <w:t xml:space="preserve"> towards technology</w:t>
      </w:r>
      <w:r w:rsidR="002930E2">
        <w:t xml:space="preserve">, especially when </w:t>
      </w:r>
      <w:r w:rsidR="00CF5D1C" w:rsidRPr="00CF5D1C">
        <w:t xml:space="preserve">the technology is perceived as impersonal or unsupportive </w:t>
      </w:r>
      <w:r w:rsidR="00D558AC">
        <w:t>[24]</w:t>
      </w:r>
      <w:r w:rsidR="00EE6F19">
        <w:t xml:space="preserve">. </w:t>
      </w:r>
      <w:r w:rsidR="00FB7062">
        <w:t xml:space="preserve">Similar trends could be observed </w:t>
      </w:r>
      <w:r w:rsidR="00767EBA">
        <w:t xml:space="preserve">in </w:t>
      </w:r>
      <w:r w:rsidR="00CF5D1C" w:rsidRPr="00CF5D1C">
        <w:t>the context of mathematic</w:t>
      </w:r>
      <w:r w:rsidR="00C360BF">
        <w:t>al CAs</w:t>
      </w:r>
      <w:r w:rsidR="00CF5D1C" w:rsidRPr="00CF5D1C">
        <w:t xml:space="preserve"> education</w:t>
      </w:r>
      <w:r w:rsidR="0040661E">
        <w:t xml:space="preserve"> at which male students tend to show favorable experiences with CAs, </w:t>
      </w:r>
      <w:r w:rsidR="00CF5D1C" w:rsidRPr="00CF5D1C">
        <w:t>especially in problem-solving or technical tasks</w:t>
      </w:r>
      <w:r w:rsidR="00D558AC">
        <w:t xml:space="preserve"> [25]</w:t>
      </w:r>
      <w:r w:rsidR="00CF5D1C" w:rsidRPr="00CF5D1C">
        <w:t xml:space="preserve">. </w:t>
      </w:r>
      <w:r w:rsidR="001F18FA">
        <w:t xml:space="preserve">Conversely, </w:t>
      </w:r>
      <w:r w:rsidR="002B5A7F">
        <w:t>f</w:t>
      </w:r>
      <w:r w:rsidR="002B5A7F" w:rsidRPr="002B5A7F">
        <w:t xml:space="preserve">emale students tended to be more critical of factors </w:t>
      </w:r>
      <w:r w:rsidR="002B5A7F">
        <w:t>such as</w:t>
      </w:r>
      <w:r w:rsidR="002B5A7F" w:rsidRPr="002B5A7F">
        <w:t xml:space="preserve"> emotional responsiveness and communication style</w:t>
      </w:r>
      <w:r w:rsidR="00D558AC">
        <w:t xml:space="preserve"> [26]</w:t>
      </w:r>
      <w:r w:rsidR="00CF5D1C" w:rsidRPr="00CF5D1C">
        <w:t xml:space="preserve">. </w:t>
      </w:r>
      <w:r w:rsidR="002B5A7F">
        <w:t>T</w:t>
      </w:r>
      <w:r w:rsidR="002B5A7F" w:rsidRPr="00CF5D1C">
        <w:t>o reduce gender-based discrepancies in perceptions and enhance engagement for all students</w:t>
      </w:r>
      <w:r w:rsidR="002B5A7F">
        <w:t xml:space="preserve">, </w:t>
      </w:r>
      <w:r w:rsidR="00D558AC">
        <w:t xml:space="preserve">[27] </w:t>
      </w:r>
      <w:r w:rsidR="00003B0A">
        <w:t xml:space="preserve">suggests that </w:t>
      </w:r>
      <w:r w:rsidR="002B5A7F" w:rsidRPr="00CF5D1C">
        <w:t>gender-neutral designs</w:t>
      </w:r>
      <w:r w:rsidR="002B5A7F">
        <w:t xml:space="preserve"> that</w:t>
      </w:r>
      <w:r w:rsidR="002B5A7F" w:rsidRPr="00CF5D1C">
        <w:t xml:space="preserve"> allow </w:t>
      </w:r>
      <w:r w:rsidR="002B5A7F">
        <w:t>the</w:t>
      </w:r>
      <w:r w:rsidR="002B5A7F" w:rsidRPr="00CF5D1C">
        <w:t xml:space="preserve"> customization of voice, tone, and responsiveness, </w:t>
      </w:r>
      <w:r w:rsidR="002B5A7F">
        <w:t xml:space="preserve">could be </w:t>
      </w:r>
      <w:r w:rsidR="00003B0A">
        <w:t>implemented.</w:t>
      </w:r>
    </w:p>
    <w:p w14:paraId="1544239B" w14:textId="23788EB0" w:rsidR="00754EB5" w:rsidRDefault="00003B0A" w:rsidP="00726B2B">
      <w:pPr>
        <w:pStyle w:val="Paragraph"/>
        <w:ind w:firstLine="288"/>
        <w:contextualSpacing/>
      </w:pPr>
      <w:r>
        <w:t xml:space="preserve">Besides, different performance levels of students </w:t>
      </w:r>
      <w:r w:rsidR="00D25BFA">
        <w:t xml:space="preserve">may </w:t>
      </w:r>
      <w:r>
        <w:t xml:space="preserve">engage with educational CAs </w:t>
      </w:r>
      <w:r w:rsidRPr="00003B0A">
        <w:t>with different attitudes, interests, and behaviors</w:t>
      </w:r>
      <w:r w:rsidR="00D25BFA">
        <w:t xml:space="preserve"> because of their varying confidence levels, prior mathematics experiences, and learning needs</w:t>
      </w:r>
      <w:r w:rsidR="00D25BFA" w:rsidRPr="00B75DC4">
        <w:t xml:space="preserve"> </w:t>
      </w:r>
      <w:r w:rsidR="00D558AC">
        <w:t>[22]</w:t>
      </w:r>
      <w:r w:rsidR="00D25BFA" w:rsidRPr="00B75DC4">
        <w:t>.</w:t>
      </w:r>
      <w:r w:rsidR="00D25BFA">
        <w:t xml:space="preserve"> </w:t>
      </w:r>
      <w:r w:rsidR="00F95266" w:rsidRPr="00B75DC4">
        <w:t>The relationship between</w:t>
      </w:r>
      <w:r w:rsidR="001941F8">
        <w:t xml:space="preserve"> student</w:t>
      </w:r>
      <w:r w:rsidR="00F95266" w:rsidRPr="00B75DC4">
        <w:t xml:space="preserve"> performance level and technology use is complex</w:t>
      </w:r>
      <w:r w:rsidR="001941F8">
        <w:t xml:space="preserve">. </w:t>
      </w:r>
      <w:r w:rsidR="001070D5">
        <w:t xml:space="preserve">Students of high-performance </w:t>
      </w:r>
      <w:r w:rsidR="00CB5876">
        <w:t>perceived</w:t>
      </w:r>
      <w:r w:rsidR="001070D5">
        <w:t xml:space="preserve"> positive</w:t>
      </w:r>
      <w:r w:rsidR="00CB5876">
        <w:t xml:space="preserve">ly towards CAs as they appreciate </w:t>
      </w:r>
      <w:r w:rsidR="001A781D">
        <w:t>CAs as valuable tools in refining their understand</w:t>
      </w:r>
      <w:r w:rsidR="002E17FD">
        <w:t>i</w:t>
      </w:r>
      <w:r w:rsidR="001A781D">
        <w:t>ngs of concept</w:t>
      </w:r>
      <w:r w:rsidR="00CB5876">
        <w:t>s</w:t>
      </w:r>
      <w:r w:rsidR="00D558AC">
        <w:t xml:space="preserve"> [15]</w:t>
      </w:r>
      <w:r w:rsidR="00EE6F19">
        <w:t xml:space="preserve">. </w:t>
      </w:r>
      <w:r w:rsidR="00324F3B">
        <w:t>Moreover, they</w:t>
      </w:r>
      <w:r w:rsidR="00754EB5" w:rsidRPr="00DC300B">
        <w:t xml:space="preserve"> motivate by</w:t>
      </w:r>
      <w:r w:rsidR="00324F3B">
        <w:t xml:space="preserve"> the</w:t>
      </w:r>
      <w:r w:rsidR="00754EB5" w:rsidRPr="00DC300B">
        <w:t xml:space="preserve"> advanced problem sets </w:t>
      </w:r>
      <w:r w:rsidR="00324F3B">
        <w:t>by CAs</w:t>
      </w:r>
      <w:r w:rsidR="00754EB5" w:rsidRPr="00DC300B">
        <w:t xml:space="preserve"> that stimulate their intellectual curiosity</w:t>
      </w:r>
      <w:r w:rsidR="00D558AC">
        <w:t xml:space="preserve"> [28]</w:t>
      </w:r>
      <w:r w:rsidR="00EE6F19">
        <w:t>.</w:t>
      </w:r>
      <w:r w:rsidR="00754EB5" w:rsidRPr="00DC300B">
        <w:t xml:space="preserve"> </w:t>
      </w:r>
    </w:p>
    <w:p w14:paraId="73AE12C1" w14:textId="5C9AE2D8" w:rsidR="002E17FD" w:rsidRPr="00DC300B" w:rsidRDefault="002E17FD" w:rsidP="00726B2B">
      <w:pPr>
        <w:pStyle w:val="Paragraph"/>
        <w:ind w:firstLine="288"/>
        <w:contextualSpacing/>
      </w:pPr>
      <w:r>
        <w:t>Conversely,</w:t>
      </w:r>
      <w:r w:rsidR="00754EB5" w:rsidRPr="00DC300B">
        <w:t xml:space="preserve"> </w:t>
      </w:r>
      <w:r w:rsidRPr="00DC300B">
        <w:t xml:space="preserve">students </w:t>
      </w:r>
      <w:r>
        <w:t xml:space="preserve">of </w:t>
      </w:r>
      <w:r w:rsidRPr="00DC300B">
        <w:t>low</w:t>
      </w:r>
      <w:r>
        <w:t xml:space="preserve"> performance</w:t>
      </w:r>
      <w:r w:rsidR="00754EB5" w:rsidRPr="00DC300B">
        <w:t xml:space="preserve"> may struggle with the personalized nature of CAs</w:t>
      </w:r>
      <w:r w:rsidR="00324F3B">
        <w:t xml:space="preserve"> </w:t>
      </w:r>
      <w:r w:rsidR="00D558AC">
        <w:t xml:space="preserve">[13] </w:t>
      </w:r>
      <w:r w:rsidR="00D22FD3">
        <w:t xml:space="preserve">or </w:t>
      </w:r>
      <w:r w:rsidR="00324F3B" w:rsidRPr="00DC300B">
        <w:t>more likely to have a negative experience when CAs provided limited help</w:t>
      </w:r>
      <w:r w:rsidR="00D558AC">
        <w:t xml:space="preserve"> [10]</w:t>
      </w:r>
      <w:r w:rsidR="00754EB5" w:rsidRPr="00DC300B">
        <w:t>, especially when dealing with basic or foundational concepts</w:t>
      </w:r>
      <w:r w:rsidR="00324F3B">
        <w:t xml:space="preserve">. </w:t>
      </w:r>
      <w:r w:rsidR="00754EB5" w:rsidRPr="00DC300B">
        <w:t>Research by</w:t>
      </w:r>
      <w:r w:rsidR="00D558AC">
        <w:t xml:space="preserve"> [24]</w:t>
      </w:r>
      <w:r w:rsidR="00754EB5" w:rsidRPr="00DC300B">
        <w:t xml:space="preserve"> found that </w:t>
      </w:r>
      <w:r w:rsidRPr="00DC300B">
        <w:t xml:space="preserve">students </w:t>
      </w:r>
      <w:r>
        <w:t xml:space="preserve">of </w:t>
      </w:r>
      <w:r w:rsidRPr="00DC300B">
        <w:t>low</w:t>
      </w:r>
      <w:r>
        <w:t xml:space="preserve"> performance</w:t>
      </w:r>
      <w:r w:rsidRPr="00DC300B">
        <w:t xml:space="preserve"> </w:t>
      </w:r>
      <w:r w:rsidR="00754EB5" w:rsidRPr="00DC300B">
        <w:t xml:space="preserve">often felt unsupported by CAs, </w:t>
      </w:r>
      <w:r>
        <w:t>especially the</w:t>
      </w:r>
      <w:r w:rsidR="00754EB5" w:rsidRPr="00DC300B">
        <w:t xml:space="preserve"> subjects like mathematics, where they require more guidance to succeed. Without adequate scaffolding, these students may feel overwhelmed, disengaged, and dissatisfied with their learning experience.</w:t>
      </w:r>
      <w:r>
        <w:t xml:space="preserve"> </w:t>
      </w:r>
    </w:p>
    <w:p w14:paraId="68DB8AB6" w14:textId="71355C8F" w:rsidR="00CF5D1C" w:rsidRPr="00CF5D1C" w:rsidRDefault="00D22FD3" w:rsidP="00726B2B">
      <w:pPr>
        <w:pStyle w:val="Paragraph"/>
        <w:ind w:firstLine="288"/>
      </w:pPr>
      <w:r>
        <w:t>P</w:t>
      </w:r>
      <w:r w:rsidRPr="00DC300B">
        <w:t>ersonalized feedback</w:t>
      </w:r>
      <w:r>
        <w:t>, without doubt, could</w:t>
      </w:r>
      <w:r w:rsidR="00754EB5" w:rsidRPr="00DC300B">
        <w:t xml:space="preserve"> foster student engagement and improv</w:t>
      </w:r>
      <w:r>
        <w:t>e</w:t>
      </w:r>
      <w:r w:rsidR="00754EB5" w:rsidRPr="00DC300B">
        <w:t xml:space="preserve"> learning outcomes</w:t>
      </w:r>
      <w:r w:rsidR="00D558AC">
        <w:t xml:space="preserve"> [29]</w:t>
      </w:r>
      <w:r w:rsidR="00754EB5" w:rsidRPr="00DC300B">
        <w:t xml:space="preserve">. </w:t>
      </w:r>
      <w:r w:rsidR="00CF5D1C" w:rsidRPr="00CF5D1C">
        <w:t xml:space="preserve">In mathematics education, CAs play a crucial role in supporting both foundational skills and more complex </w:t>
      </w:r>
      <w:r>
        <w:t xml:space="preserve">by </w:t>
      </w:r>
      <w:r w:rsidR="00CF5D1C" w:rsidRPr="00CF5D1C">
        <w:t>offer</w:t>
      </w:r>
      <w:r>
        <w:t>ing</w:t>
      </w:r>
      <w:r w:rsidR="00CF5D1C" w:rsidRPr="00CF5D1C">
        <w:t xml:space="preserve"> repetitive practice and immediate feedback </w:t>
      </w:r>
      <w:r w:rsidR="00D558AC">
        <w:t>[19]</w:t>
      </w:r>
      <w:r w:rsidR="00CF5D1C" w:rsidRPr="00CF5D1C">
        <w:t xml:space="preserve">. </w:t>
      </w:r>
      <w:r>
        <w:t xml:space="preserve">The </w:t>
      </w:r>
      <w:r w:rsidR="00CF5D1C" w:rsidRPr="00CF5D1C">
        <w:t>personalized learning experiences</w:t>
      </w:r>
      <w:r>
        <w:t xml:space="preserve"> provided by</w:t>
      </w:r>
      <w:r w:rsidR="00CF5D1C" w:rsidRPr="00CF5D1C">
        <w:t xml:space="preserve"> CAs are particularly beneficial for students who struggle with abstract concepts</w:t>
      </w:r>
      <w:r>
        <w:t xml:space="preserve"> at which they </w:t>
      </w:r>
      <w:r w:rsidR="00CF5D1C" w:rsidRPr="00CF5D1C">
        <w:t xml:space="preserve">offer tailored hints and explanations at </w:t>
      </w:r>
      <w:r>
        <w:t>students’</w:t>
      </w:r>
      <w:r w:rsidR="00CF5D1C" w:rsidRPr="00CF5D1C">
        <w:t xml:space="preserve"> own pace </w:t>
      </w:r>
      <w:r w:rsidR="00D558AC">
        <w:t>[29]</w:t>
      </w:r>
      <w:r w:rsidR="00CF5D1C" w:rsidRPr="00CF5D1C">
        <w:t>.</w:t>
      </w:r>
    </w:p>
    <w:p w14:paraId="2D2C96D5" w14:textId="6ACC9337" w:rsidR="00CF5D1C" w:rsidRDefault="00D22FD3" w:rsidP="00726B2B">
      <w:pPr>
        <w:pStyle w:val="Paragraph"/>
        <w:ind w:firstLine="288"/>
        <w:contextualSpacing/>
      </w:pPr>
      <w:r>
        <w:t xml:space="preserve">Based on those studies mentioned above, </w:t>
      </w:r>
      <w:r w:rsidR="002A6C1D">
        <w:t xml:space="preserve">educational </w:t>
      </w:r>
      <w:r w:rsidR="00704EE7">
        <w:t xml:space="preserve">CAs </w:t>
      </w:r>
      <w:r w:rsidR="002A6C1D">
        <w:t>designers</w:t>
      </w:r>
      <w:r w:rsidR="00704EE7">
        <w:t xml:space="preserve"> may consider a gender-neutral design to reduce the gender-based discrepancies in perceptions.</w:t>
      </w:r>
      <w:r w:rsidR="002A6C1D">
        <w:t xml:space="preserve"> While students of low performance require more guidance and support to be fully benefited from CAs, students of high-performance </w:t>
      </w:r>
      <w:r>
        <w:t>strive</w:t>
      </w:r>
      <w:r w:rsidR="002A6C1D">
        <w:t xml:space="preserve"> from the complexity and challenges offered by CAs. </w:t>
      </w:r>
      <w:r w:rsidR="008413C9">
        <w:t>With these, CAs could continuously grow and be optimized to use as a potential learning tool</w:t>
      </w:r>
      <w:r w:rsidR="008413C9" w:rsidRPr="00CF5D1C">
        <w:t xml:space="preserve"> in mathematics educatio</w:t>
      </w:r>
      <w:r w:rsidR="008413C9">
        <w:t xml:space="preserve">n. </w:t>
      </w:r>
      <w:r w:rsidR="002A6C1D">
        <w:t xml:space="preserve">Although there are extensive studies on the adoption of educational technologies in general, research focusing on </w:t>
      </w:r>
      <w:r w:rsidR="002A6C1D" w:rsidRPr="00CF5D1C">
        <w:t xml:space="preserve">students' perceptions </w:t>
      </w:r>
      <w:r w:rsidR="002A6C1D">
        <w:t xml:space="preserve">towards </w:t>
      </w:r>
      <w:r w:rsidR="002A6C1D" w:rsidRPr="00CF5D1C">
        <w:t xml:space="preserve">CAs remains </w:t>
      </w:r>
      <w:r w:rsidR="002A6C1D">
        <w:t>scanty. T</w:t>
      </w:r>
      <w:r w:rsidR="00CF5D1C" w:rsidRPr="00CF5D1C">
        <w:t xml:space="preserve">his study </w:t>
      </w:r>
      <w:r w:rsidR="002A6C1D">
        <w:t>is</w:t>
      </w:r>
      <w:r w:rsidR="00CF5D1C" w:rsidRPr="00CF5D1C">
        <w:t xml:space="preserve"> to address this gap by </w:t>
      </w:r>
      <w:r w:rsidR="00CF5D1C" w:rsidRPr="00CF5D1C">
        <w:lastRenderedPageBreak/>
        <w:t xml:space="preserve">investigating students' perceptions </w:t>
      </w:r>
      <w:r w:rsidR="002A6C1D">
        <w:t>towards the use</w:t>
      </w:r>
      <w:r w:rsidR="00CF5D1C" w:rsidRPr="00CF5D1C">
        <w:t xml:space="preserve"> </w:t>
      </w:r>
      <w:r w:rsidR="005608C4">
        <w:t>CAs</w:t>
      </w:r>
      <w:r w:rsidR="002A6C1D">
        <w:t xml:space="preserve"> in mathematics learning</w:t>
      </w:r>
      <w:r w:rsidR="00CF5D1C" w:rsidRPr="00CF5D1C">
        <w:t>, particular</w:t>
      </w:r>
      <w:r w:rsidR="002A6C1D">
        <w:t>ly</w:t>
      </w:r>
      <w:r w:rsidR="00CF5D1C" w:rsidRPr="00CF5D1C">
        <w:t xml:space="preserve"> focus on how gender </w:t>
      </w:r>
      <w:r w:rsidR="00C83461">
        <w:t xml:space="preserve">and academic performance levels </w:t>
      </w:r>
      <w:r w:rsidR="00CF5D1C" w:rsidRPr="00CF5D1C">
        <w:t>may influence these perceptions.</w:t>
      </w:r>
    </w:p>
    <w:p w14:paraId="7898B836" w14:textId="79D67E58" w:rsidR="004D601C" w:rsidRPr="00EF134E" w:rsidRDefault="004D601C" w:rsidP="00726B2B">
      <w:pPr>
        <w:pStyle w:val="Heading1"/>
        <w:contextualSpacing/>
      </w:pPr>
      <w:r w:rsidRPr="00EF134E">
        <w:t>Methodology</w:t>
      </w:r>
    </w:p>
    <w:p w14:paraId="1BF81F11" w14:textId="7A8F6BD1" w:rsidR="005608C4" w:rsidRPr="005E69C3" w:rsidRDefault="004D601C" w:rsidP="00726B2B">
      <w:pPr>
        <w:pStyle w:val="Paragraph"/>
        <w:ind w:firstLine="288"/>
        <w:contextualSpacing/>
      </w:pPr>
      <w:r w:rsidRPr="00EF134E">
        <w:t xml:space="preserve">This study adopts a </w:t>
      </w:r>
      <w:r>
        <w:t>quasi- experimental and mixed-method</w:t>
      </w:r>
      <w:r w:rsidR="006D42E7">
        <w:t xml:space="preserve"> (</w:t>
      </w:r>
      <w:r>
        <w:t xml:space="preserve">both </w:t>
      </w:r>
      <w:r w:rsidRPr="00EF134E">
        <w:t>quantitative</w:t>
      </w:r>
      <w:r>
        <w:t xml:space="preserve"> and qualitative</w:t>
      </w:r>
      <w:r w:rsidR="006D42E7">
        <w:t xml:space="preserve"> </w:t>
      </w:r>
      <w:r w:rsidRPr="00EF134E">
        <w:t xml:space="preserve">research </w:t>
      </w:r>
      <w:r w:rsidR="006D42E7" w:rsidRPr="00EF134E">
        <w:t>approach</w:t>
      </w:r>
      <w:r w:rsidR="005608C4">
        <w:t>)</w:t>
      </w:r>
      <w:r w:rsidR="006D42E7">
        <w:t xml:space="preserve">, </w:t>
      </w:r>
      <w:r w:rsidR="006D42E7" w:rsidRPr="00EF134E">
        <w:t>utilizing</w:t>
      </w:r>
      <w:r w:rsidRPr="00EF134E">
        <w:t xml:space="preserve"> a survey-based </w:t>
      </w:r>
      <w:r>
        <w:t xml:space="preserve">and interviews </w:t>
      </w:r>
      <w:r w:rsidRPr="00EF134E">
        <w:t xml:space="preserve">design to collect data on students' perceptions of </w:t>
      </w:r>
      <w:r w:rsidR="005608C4">
        <w:t>CAs</w:t>
      </w:r>
      <w:r w:rsidRPr="00EF134E">
        <w:t xml:space="preserve"> in educational settings. The survey</w:t>
      </w:r>
      <w:r w:rsidR="005608C4">
        <w:t>, t</w:t>
      </w:r>
      <w:r w:rsidR="005608C4" w:rsidRPr="0098198A">
        <w:t>he questionnaire on students' perceptions of conversational learning agents (SPCA)</w:t>
      </w:r>
      <w:r w:rsidR="005608C4">
        <w:t xml:space="preserve">, </w:t>
      </w:r>
      <w:r w:rsidR="005608C4" w:rsidRPr="0098198A">
        <w:t>is an online tool adapted from previous studies</w:t>
      </w:r>
      <w:r w:rsidR="00C45232">
        <w:t xml:space="preserve"> [30 – 32]</w:t>
      </w:r>
      <w:r w:rsidR="005608C4" w:rsidRPr="0098198A">
        <w:t xml:space="preserve">. </w:t>
      </w:r>
      <w:r w:rsidR="005608C4">
        <w:t>It</w:t>
      </w:r>
      <w:r w:rsidR="005608C4" w:rsidRPr="005E69C3">
        <w:t xml:space="preserve"> evaluates students' views on the usefulness and ease of use of </w:t>
      </w:r>
      <w:r w:rsidR="005608C4">
        <w:t>CA</w:t>
      </w:r>
      <w:r w:rsidR="005608C4" w:rsidRPr="005E69C3">
        <w:t>. It has two sections: Section A gathers demographic data, and Section B includes 25 statements where students rate their perceptions on a 5-point Likert scale</w:t>
      </w:r>
      <w:r w:rsidR="005608C4">
        <w:t xml:space="preserve">, </w:t>
      </w:r>
      <w:r w:rsidR="005608C4" w:rsidRPr="0098198A">
        <w:t>with higher values indicating stronger agreement.</w:t>
      </w:r>
    </w:p>
    <w:p w14:paraId="7FE3E04E" w14:textId="6C49EA44" w:rsidR="00A040B1" w:rsidRDefault="004D601C" w:rsidP="00726B2B">
      <w:pPr>
        <w:pStyle w:val="Paragraph"/>
        <w:ind w:firstLine="288"/>
        <w:contextualSpacing/>
      </w:pPr>
      <w:r>
        <w:t xml:space="preserve">The </w:t>
      </w:r>
      <w:r w:rsidR="005608C4">
        <w:t>CA</w:t>
      </w:r>
      <w:r>
        <w:t xml:space="preserve"> is designed and developed grounded in Vygotsky Theory to scaffold the students in their mathematics learning. </w:t>
      </w:r>
      <w:r w:rsidR="00A75EC5" w:rsidRPr="00A75EC5">
        <w:t>The sample</w:t>
      </w:r>
      <w:r w:rsidR="00A75EC5">
        <w:t>, which is the convenient sample of the instructor,</w:t>
      </w:r>
      <w:r w:rsidR="00A75EC5" w:rsidRPr="00A75EC5">
        <w:t xml:space="preserve"> includes 30 university IT students who interacted with CA for a trimester. </w:t>
      </w:r>
      <w:r w:rsidR="00A75EC5">
        <w:t>Participants self-registered the group based on their preferable timetable a trimester before the subject is offered</w:t>
      </w:r>
      <w:r w:rsidR="00A75EC5" w:rsidRPr="00A75EC5">
        <w:t xml:space="preserve">. </w:t>
      </w:r>
    </w:p>
    <w:p w14:paraId="297A8995" w14:textId="2FF54C8C" w:rsidR="00A040B1" w:rsidRDefault="00AF662E" w:rsidP="00726B2B">
      <w:pPr>
        <w:pStyle w:val="Paragraph"/>
        <w:ind w:firstLine="288"/>
        <w:contextualSpacing/>
      </w:pPr>
      <w:r w:rsidRPr="00EC143C">
        <w:t>Although the sample size in this study is small (</w:t>
      </w:r>
      <w:r w:rsidRPr="00140434">
        <w:rPr>
          <w:i/>
          <w:iCs/>
        </w:rPr>
        <w:t>n</w:t>
      </w:r>
      <w:r w:rsidRPr="00EC143C">
        <w:t xml:space="preserve"> = 30), the use of independent samples</w:t>
      </w:r>
      <w:r w:rsidRPr="00EC143C">
        <w:rPr>
          <w:i/>
          <w:iCs/>
        </w:rPr>
        <w:t xml:space="preserve"> t</w:t>
      </w:r>
      <w:r w:rsidRPr="00EC143C">
        <w:t>-tests to examine differences in students’ perceptions based on gender and performance level is statistically justified.</w:t>
      </w:r>
      <w:r w:rsidR="00140434">
        <w:t xml:space="preserve"> However</w:t>
      </w:r>
      <w:r w:rsidR="004210DA">
        <w:t>, “</w:t>
      </w:r>
      <w:r w:rsidR="004210DA" w:rsidRPr="002A633B">
        <w:rPr>
          <w:i/>
          <w:iCs/>
        </w:rPr>
        <w:t>30 data points should provide enough information to make a statistically sound conclusion about a population</w:t>
      </w:r>
      <w:r w:rsidR="004210DA">
        <w:t>”</w:t>
      </w:r>
      <w:r w:rsidR="00C45232">
        <w:t xml:space="preserve"> [33]</w:t>
      </w:r>
      <w:r w:rsidR="004210DA" w:rsidRPr="004210DA">
        <w:t>.</w:t>
      </w:r>
      <w:r w:rsidRPr="00EC143C">
        <w:t xml:space="preserve"> As recommended in recent literature</w:t>
      </w:r>
      <w:r w:rsidR="00C45232">
        <w:t xml:space="preserve"> [34</w:t>
      </w:r>
      <w:r w:rsidR="00EE6F19">
        <w:t>]</w:t>
      </w:r>
      <w:r w:rsidRPr="00EC143C">
        <w:t>, small-sample</w:t>
      </w:r>
      <w:r w:rsidRPr="00EC143C">
        <w:rPr>
          <w:i/>
          <w:iCs/>
        </w:rPr>
        <w:t xml:space="preserve"> t</w:t>
      </w:r>
      <w:r w:rsidRPr="00EC143C">
        <w:t xml:space="preserve">-tests can yield valid results when assumptions are </w:t>
      </w:r>
      <w:r w:rsidR="000D7466" w:rsidRPr="00EC143C">
        <w:t>satisfied,</w:t>
      </w:r>
      <w:r w:rsidRPr="00EC143C">
        <w:t xml:space="preserve"> and effect sizes and confidence intervals are reported alongside </w:t>
      </w:r>
      <w:r w:rsidRPr="00EC143C">
        <w:rPr>
          <w:i/>
          <w:iCs/>
        </w:rPr>
        <w:t>p</w:t>
      </w:r>
      <w:r w:rsidRPr="00EC143C">
        <w:t>-values.</w:t>
      </w:r>
    </w:p>
    <w:p w14:paraId="20CA47CE" w14:textId="6DB985D1" w:rsidR="004D601C" w:rsidRPr="00A040B1" w:rsidRDefault="0095293C" w:rsidP="00726B2B">
      <w:pPr>
        <w:ind w:firstLine="288"/>
        <w:contextualSpacing/>
        <w:jc w:val="both"/>
        <w:rPr>
          <w:sz w:val="20"/>
        </w:rPr>
      </w:pPr>
      <w:r w:rsidRPr="00A040B1">
        <w:rPr>
          <w:sz w:val="20"/>
        </w:rPr>
        <w:t>The study is completed in three phases. In the first phase,</w:t>
      </w:r>
      <w:r w:rsidR="00024971" w:rsidRPr="00A040B1">
        <w:rPr>
          <w:sz w:val="20"/>
        </w:rPr>
        <w:t xml:space="preserve"> first, the research objectives </w:t>
      </w:r>
      <w:r w:rsidR="00FF138E" w:rsidRPr="00A040B1">
        <w:rPr>
          <w:sz w:val="20"/>
        </w:rPr>
        <w:t>are</w:t>
      </w:r>
      <w:r w:rsidR="00024971" w:rsidRPr="00A040B1">
        <w:rPr>
          <w:sz w:val="20"/>
        </w:rPr>
        <w:t xml:space="preserve"> </w:t>
      </w:r>
      <w:r w:rsidR="005E69C3" w:rsidRPr="00A040B1">
        <w:rPr>
          <w:sz w:val="20"/>
        </w:rPr>
        <w:t>established,</w:t>
      </w:r>
      <w:r w:rsidR="00024971" w:rsidRPr="00A040B1">
        <w:rPr>
          <w:sz w:val="20"/>
        </w:rPr>
        <w:t xml:space="preserve"> and the sample is determined. Then, the research methodology is chosen. At the same time, the lessons content and CA are designed and developed, and the research instrument (questionnaire) is adopted. The permission from the faculty dean and instructor are obtained.</w:t>
      </w:r>
      <w:r w:rsidR="004662E9" w:rsidRPr="00A040B1">
        <w:rPr>
          <w:sz w:val="20"/>
        </w:rPr>
        <w:t xml:space="preserve"> </w:t>
      </w:r>
      <w:r w:rsidR="00024971" w:rsidRPr="00A040B1">
        <w:rPr>
          <w:sz w:val="20"/>
        </w:rPr>
        <w:t xml:space="preserve">In the second phase, the field study is conducted </w:t>
      </w:r>
      <w:r w:rsidR="0069768F" w:rsidRPr="00A040B1">
        <w:rPr>
          <w:sz w:val="20"/>
        </w:rPr>
        <w:t>for</w:t>
      </w:r>
      <w:r w:rsidR="00024971" w:rsidRPr="00A040B1">
        <w:rPr>
          <w:sz w:val="20"/>
        </w:rPr>
        <w:t xml:space="preserve"> a duration of a trimester (14 weeks). </w:t>
      </w:r>
      <w:r w:rsidR="00A765E4" w:rsidRPr="00A040B1">
        <w:rPr>
          <w:sz w:val="20"/>
        </w:rPr>
        <w:t>T</w:t>
      </w:r>
      <w:r w:rsidR="00024971" w:rsidRPr="00A040B1">
        <w:rPr>
          <w:sz w:val="20"/>
        </w:rPr>
        <w:t xml:space="preserve">he </w:t>
      </w:r>
      <w:r w:rsidR="00A765E4" w:rsidRPr="00A040B1">
        <w:rPr>
          <w:sz w:val="20"/>
        </w:rPr>
        <w:t xml:space="preserve">students </w:t>
      </w:r>
      <w:r w:rsidR="00024971" w:rsidRPr="00A040B1">
        <w:rPr>
          <w:sz w:val="20"/>
        </w:rPr>
        <w:t xml:space="preserve">are </w:t>
      </w:r>
      <w:r w:rsidR="00A765E4" w:rsidRPr="00A040B1">
        <w:rPr>
          <w:sz w:val="20"/>
        </w:rPr>
        <w:t>briefed,</w:t>
      </w:r>
      <w:r w:rsidR="00024971" w:rsidRPr="00A040B1">
        <w:rPr>
          <w:sz w:val="20"/>
        </w:rPr>
        <w:t xml:space="preserve"> and consent </w:t>
      </w:r>
      <w:r w:rsidR="00DF0A55" w:rsidRPr="00A040B1">
        <w:rPr>
          <w:sz w:val="20"/>
        </w:rPr>
        <w:t>is</w:t>
      </w:r>
      <w:r w:rsidR="00024971" w:rsidRPr="00A040B1">
        <w:rPr>
          <w:sz w:val="20"/>
        </w:rPr>
        <w:t xml:space="preserve"> obtained</w:t>
      </w:r>
      <w:r w:rsidR="00A765E4" w:rsidRPr="00A040B1">
        <w:rPr>
          <w:sz w:val="20"/>
        </w:rPr>
        <w:t xml:space="preserve"> at the beginning of the intervention</w:t>
      </w:r>
      <w:r w:rsidR="00024971" w:rsidRPr="00A040B1">
        <w:rPr>
          <w:sz w:val="20"/>
        </w:rPr>
        <w:t>. Then, they</w:t>
      </w:r>
      <w:r w:rsidR="00A765E4" w:rsidRPr="00A040B1">
        <w:rPr>
          <w:sz w:val="20"/>
        </w:rPr>
        <w:t xml:space="preserve"> are taught by the instructor in physical classroom and are provided by the developed CA to be used outside of classroom.</w:t>
      </w:r>
      <w:r w:rsidR="00DF0A55" w:rsidRPr="00A040B1">
        <w:rPr>
          <w:sz w:val="20"/>
        </w:rPr>
        <w:t xml:space="preserve"> The structured-adopted questionnaire </w:t>
      </w:r>
      <w:r w:rsidR="0069768F" w:rsidRPr="00A040B1">
        <w:rPr>
          <w:sz w:val="20"/>
        </w:rPr>
        <w:t>is given</w:t>
      </w:r>
      <w:r w:rsidR="00DF0A55" w:rsidRPr="00A040B1">
        <w:rPr>
          <w:sz w:val="20"/>
        </w:rPr>
        <w:t xml:space="preserve"> </w:t>
      </w:r>
      <w:r w:rsidR="0069768F" w:rsidRPr="00A040B1">
        <w:rPr>
          <w:sz w:val="20"/>
        </w:rPr>
        <w:t>after they have completed the learning with CA</w:t>
      </w:r>
      <w:r w:rsidR="00DF0A55" w:rsidRPr="00A040B1">
        <w:rPr>
          <w:sz w:val="20"/>
        </w:rPr>
        <w:t xml:space="preserve">. The survey </w:t>
      </w:r>
      <w:r w:rsidR="0069768F" w:rsidRPr="00A040B1">
        <w:rPr>
          <w:sz w:val="20"/>
        </w:rPr>
        <w:t>i</w:t>
      </w:r>
      <w:r w:rsidR="00DF0A55" w:rsidRPr="00A040B1">
        <w:rPr>
          <w:sz w:val="20"/>
        </w:rPr>
        <w:t xml:space="preserve">s conducted electronically to ensure accessibility and ease of participation. </w:t>
      </w:r>
      <w:r w:rsidR="00C64056" w:rsidRPr="00A040B1">
        <w:rPr>
          <w:sz w:val="20"/>
        </w:rPr>
        <w:t xml:space="preserve">Also, the interview is conducted to collect qualitative data. </w:t>
      </w:r>
      <w:r w:rsidR="0069768F" w:rsidRPr="00A040B1">
        <w:rPr>
          <w:sz w:val="20"/>
        </w:rPr>
        <w:t>In the third phase, the data collected from the questionnaire is analyzed</w:t>
      </w:r>
      <w:r w:rsidR="004D601C" w:rsidRPr="00A040B1">
        <w:rPr>
          <w:sz w:val="20"/>
        </w:rPr>
        <w:t xml:space="preserve"> using </w:t>
      </w:r>
      <w:r w:rsidR="0069768F" w:rsidRPr="00A040B1">
        <w:rPr>
          <w:sz w:val="20"/>
        </w:rPr>
        <w:t>SPSS. D</w:t>
      </w:r>
      <w:r w:rsidR="004D601C" w:rsidRPr="00A040B1">
        <w:rPr>
          <w:sz w:val="20"/>
        </w:rPr>
        <w:t xml:space="preserve">escriptive statistics and inferential statistics </w:t>
      </w:r>
      <w:r w:rsidR="00FF138E" w:rsidRPr="00A040B1">
        <w:rPr>
          <w:sz w:val="20"/>
        </w:rPr>
        <w:t>(</w:t>
      </w:r>
      <w:r w:rsidR="004D601C" w:rsidRPr="00A040B1">
        <w:rPr>
          <w:sz w:val="20"/>
        </w:rPr>
        <w:t>at 0.05 significance lev</w:t>
      </w:r>
      <w:r w:rsidR="00FF138E" w:rsidRPr="00A040B1">
        <w:rPr>
          <w:sz w:val="20"/>
        </w:rPr>
        <w:t>el</w:t>
      </w:r>
      <w:r w:rsidR="004D601C" w:rsidRPr="00A040B1">
        <w:rPr>
          <w:sz w:val="20"/>
        </w:rPr>
        <w:t xml:space="preserve">) </w:t>
      </w:r>
      <w:r w:rsidR="0069768F" w:rsidRPr="00A040B1">
        <w:rPr>
          <w:sz w:val="20"/>
        </w:rPr>
        <w:t>are used.</w:t>
      </w:r>
    </w:p>
    <w:p w14:paraId="03566F64" w14:textId="4E78AA29" w:rsidR="004D601C" w:rsidRPr="00D742E8" w:rsidRDefault="004D601C" w:rsidP="00726B2B">
      <w:pPr>
        <w:pStyle w:val="Heading1"/>
        <w:contextualSpacing/>
      </w:pPr>
      <w:r w:rsidRPr="00D742E8">
        <w:t>Results</w:t>
      </w:r>
    </w:p>
    <w:p w14:paraId="1077B148" w14:textId="77777777" w:rsidR="001A5333" w:rsidRPr="00D742E8" w:rsidRDefault="001A5333" w:rsidP="00726B2B">
      <w:pPr>
        <w:pStyle w:val="Heading2"/>
        <w:contextualSpacing/>
      </w:pPr>
      <w:r w:rsidRPr="00D742E8">
        <w:t>Participants Demography</w:t>
      </w:r>
    </w:p>
    <w:p w14:paraId="2889834E" w14:textId="77088735" w:rsidR="00EC45FD" w:rsidRDefault="00AA70CC" w:rsidP="00726B2B">
      <w:pPr>
        <w:pStyle w:val="Paragraph"/>
        <w:ind w:firstLine="288"/>
        <w:contextualSpacing/>
        <w:rPr>
          <w:lang w:eastAsia="zh-CN"/>
        </w:rPr>
      </w:pPr>
      <w:r>
        <w:t>T</w:t>
      </w:r>
      <w:r w:rsidR="006F00F4">
        <w:t xml:space="preserve">he sample is the convenient sample of the instructor at which the students self-registered to the group based on their preferred </w:t>
      </w:r>
      <w:r w:rsidR="00C97858">
        <w:t>timetable,</w:t>
      </w:r>
      <w:r w:rsidR="006F00F4">
        <w:t xml:space="preserve"> a trimester before the subject is offered. </w:t>
      </w:r>
      <w:r w:rsidR="00C97858">
        <w:t>The participants consist of</w:t>
      </w:r>
      <w:r w:rsidR="00002141">
        <w:t xml:space="preserve"> 4</w:t>
      </w:r>
      <w:r w:rsidR="004D601C" w:rsidRPr="00EF134E">
        <w:t>6</w:t>
      </w:r>
      <w:r w:rsidR="00002141">
        <w:t>.67</w:t>
      </w:r>
      <w:r w:rsidR="004D601C" w:rsidRPr="00EF134E">
        <w:t xml:space="preserve">% female and </w:t>
      </w:r>
      <w:r w:rsidR="00002141">
        <w:t>53.33</w:t>
      </w:r>
      <w:r w:rsidR="004D601C" w:rsidRPr="00EF134E">
        <w:t>%</w:t>
      </w:r>
      <w:r w:rsidR="0097026A">
        <w:t xml:space="preserve"> </w:t>
      </w:r>
      <w:r w:rsidR="004D601C" w:rsidRPr="00EF134E">
        <w:t>male</w:t>
      </w:r>
      <w:r w:rsidR="00C97858">
        <w:t xml:space="preserve"> </w:t>
      </w:r>
      <w:r w:rsidR="00A56157">
        <w:t>who’s</w:t>
      </w:r>
      <w:r w:rsidR="00002141">
        <w:t xml:space="preserve"> aged 19 – 24 years old</w:t>
      </w:r>
      <w:r w:rsidR="004D601C" w:rsidRPr="00EF134E">
        <w:t xml:space="preserve"> with a mean age of 2</w:t>
      </w:r>
      <w:r w:rsidR="00002141">
        <w:t>0.07</w:t>
      </w:r>
      <w:r w:rsidR="004D601C" w:rsidRPr="00EF134E">
        <w:t xml:space="preserve"> years</w:t>
      </w:r>
      <w:r w:rsidR="00002141">
        <w:t xml:space="preserve"> old</w:t>
      </w:r>
      <w:r w:rsidR="004D601C" w:rsidRPr="00EF134E">
        <w:t xml:space="preserve">. Approximately </w:t>
      </w:r>
      <w:r w:rsidR="007D4CF5">
        <w:t>4</w:t>
      </w:r>
      <w:r w:rsidR="004D601C" w:rsidRPr="00EF134E">
        <w:t xml:space="preserve">0% of respondents reported using </w:t>
      </w:r>
      <w:r w:rsidR="005608C4">
        <w:t>CAs</w:t>
      </w:r>
      <w:r w:rsidR="005E69C3">
        <w:t xml:space="preserve"> before</w:t>
      </w:r>
      <w:r w:rsidR="004D601C" w:rsidRPr="00EF134E">
        <w:t xml:space="preserve"> </w:t>
      </w:r>
      <w:r w:rsidR="007D4CF5">
        <w:t xml:space="preserve">but the usage </w:t>
      </w:r>
      <w:r w:rsidR="001C493C">
        <w:t>was</w:t>
      </w:r>
      <w:r w:rsidR="007D4CF5">
        <w:t xml:space="preserve"> not in education </w:t>
      </w:r>
      <w:r w:rsidR="004D601C" w:rsidRPr="00EF134E">
        <w:t xml:space="preserve">with the most common use cases being </w:t>
      </w:r>
      <w:r w:rsidR="007D4CF5">
        <w:t xml:space="preserve">travelling </w:t>
      </w:r>
      <w:r w:rsidR="007D4CF5" w:rsidRPr="00EF134E">
        <w:t>inquiries</w:t>
      </w:r>
      <w:r w:rsidR="004D601C" w:rsidRPr="00EF134E">
        <w:t xml:space="preserve">, </w:t>
      </w:r>
      <w:r w:rsidR="007D4CF5">
        <w:t>and hobbies.</w:t>
      </w:r>
      <w:r w:rsidR="005608C4">
        <w:t xml:space="preserve"> </w:t>
      </w:r>
      <w:r w:rsidR="001C493C">
        <w:rPr>
          <w:rFonts w:hint="eastAsia"/>
          <w:lang w:eastAsia="zh-CN"/>
        </w:rPr>
        <w:t>Meanwhile,</w:t>
      </w:r>
      <w:r w:rsidR="005E69C3" w:rsidRPr="005E69C3">
        <w:t xml:space="preserve"> </w:t>
      </w:r>
      <w:r w:rsidR="005E69C3">
        <w:t>t</w:t>
      </w:r>
      <w:r w:rsidR="005E69C3" w:rsidRPr="007D4CF5">
        <w:t>he students are categorized based on their mathematics achievement prior to joining the degree program, as shown in Table</w:t>
      </w:r>
      <w:r w:rsidR="005E69C3">
        <w:t xml:space="preserve"> </w:t>
      </w:r>
      <w:r w:rsidR="00C97858">
        <w:t>1</w:t>
      </w:r>
      <w:r w:rsidR="005E69C3">
        <w:t>, at</w:t>
      </w:r>
      <w:r w:rsidR="001C493C">
        <w:rPr>
          <w:rFonts w:hint="eastAsia"/>
          <w:lang w:eastAsia="zh-CN"/>
        </w:rPr>
        <w:t xml:space="preserve"> which low</w:t>
      </w:r>
      <w:r w:rsidR="005E69C3">
        <w:rPr>
          <w:lang w:eastAsia="zh-CN"/>
        </w:rPr>
        <w:t xml:space="preserve"> are for grade </w:t>
      </w:r>
      <w:r w:rsidR="001C493C">
        <w:rPr>
          <w:rFonts w:hint="eastAsia"/>
          <w:lang w:eastAsia="zh-CN"/>
        </w:rPr>
        <w:t>C</w:t>
      </w:r>
      <w:r w:rsidR="00C15570">
        <w:rPr>
          <w:rFonts w:hint="eastAsia"/>
          <w:lang w:eastAsia="zh-CN"/>
        </w:rPr>
        <w:t xml:space="preserve"> and</w:t>
      </w:r>
      <w:r w:rsidR="001C493C">
        <w:rPr>
          <w:rFonts w:hint="eastAsia"/>
          <w:lang w:eastAsia="zh-CN"/>
        </w:rPr>
        <w:t xml:space="preserve"> C+, average</w:t>
      </w:r>
      <w:r w:rsidR="005E69C3">
        <w:rPr>
          <w:lang w:eastAsia="zh-CN"/>
        </w:rPr>
        <w:t xml:space="preserve"> are for </w:t>
      </w:r>
      <w:r w:rsidR="001C493C">
        <w:rPr>
          <w:rFonts w:hint="eastAsia"/>
          <w:lang w:eastAsia="zh-CN"/>
        </w:rPr>
        <w:t>B</w:t>
      </w:r>
      <w:r w:rsidR="001C493C">
        <w:rPr>
          <w:lang w:eastAsia="zh-CN"/>
        </w:rPr>
        <w:t>–</w:t>
      </w:r>
      <w:r w:rsidR="00C15570">
        <w:rPr>
          <w:rFonts w:hint="eastAsia"/>
          <w:lang w:eastAsia="zh-CN"/>
        </w:rPr>
        <w:t>, B, and</w:t>
      </w:r>
      <w:r w:rsidR="001C493C">
        <w:rPr>
          <w:rFonts w:hint="eastAsia"/>
          <w:lang w:eastAsia="zh-CN"/>
        </w:rPr>
        <w:t xml:space="preserve"> B+, and high </w:t>
      </w:r>
      <w:r w:rsidR="005E69C3">
        <w:rPr>
          <w:lang w:eastAsia="zh-CN"/>
        </w:rPr>
        <w:t xml:space="preserve">are for </w:t>
      </w:r>
      <w:r w:rsidR="001C493C">
        <w:rPr>
          <w:rFonts w:hint="eastAsia"/>
          <w:lang w:eastAsia="zh-CN"/>
        </w:rPr>
        <w:t>A</w:t>
      </w:r>
      <w:r w:rsidR="00C15570">
        <w:rPr>
          <w:lang w:eastAsia="zh-CN"/>
        </w:rPr>
        <w:t>–</w:t>
      </w:r>
      <w:r w:rsidR="00C15570">
        <w:rPr>
          <w:rFonts w:hint="eastAsia"/>
          <w:lang w:eastAsia="zh-CN"/>
        </w:rPr>
        <w:t>, A, and</w:t>
      </w:r>
      <w:r w:rsidR="001C493C">
        <w:rPr>
          <w:rFonts w:hint="eastAsia"/>
          <w:lang w:eastAsia="zh-CN"/>
        </w:rPr>
        <w:t xml:space="preserve"> A+.</w:t>
      </w:r>
    </w:p>
    <w:p w14:paraId="74A47BDB" w14:textId="77777777" w:rsidR="00E25659" w:rsidRDefault="00E25659" w:rsidP="00726B2B">
      <w:pPr>
        <w:pStyle w:val="Paragraph"/>
        <w:ind w:firstLine="288"/>
        <w:contextualSpacing/>
        <w:rPr>
          <w:lang w:eastAsia="zh-CN"/>
        </w:rPr>
      </w:pPr>
    </w:p>
    <w:p w14:paraId="1D37F651" w14:textId="77777777" w:rsidR="004F0CAF" w:rsidRDefault="004F0CAF" w:rsidP="00726B2B">
      <w:pPr>
        <w:pStyle w:val="Paragraph"/>
        <w:ind w:firstLine="288"/>
        <w:contextualSpacing/>
        <w:rPr>
          <w:lang w:eastAsia="zh-CN"/>
        </w:rPr>
      </w:pPr>
    </w:p>
    <w:tbl>
      <w:tblPr>
        <w:tblStyle w:val="ListTable6Colorful"/>
        <w:tblW w:w="0" w:type="auto"/>
        <w:tblInd w:w="1890" w:type="dxa"/>
        <w:tblLook w:val="04A0" w:firstRow="1" w:lastRow="0" w:firstColumn="1" w:lastColumn="0" w:noHBand="0" w:noVBand="1"/>
      </w:tblPr>
      <w:tblGrid>
        <w:gridCol w:w="2026"/>
        <w:gridCol w:w="1844"/>
        <w:gridCol w:w="1800"/>
      </w:tblGrid>
      <w:tr w:rsidR="00D742E8" w:rsidRPr="00D742E8" w14:paraId="0849E1B1" w14:textId="77777777" w:rsidTr="004F0CAF">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670" w:type="dxa"/>
            <w:gridSpan w:val="3"/>
            <w:tcBorders>
              <w:top w:val="nil"/>
              <w:bottom w:val="single" w:sz="4" w:space="0" w:color="auto"/>
            </w:tcBorders>
          </w:tcPr>
          <w:p w14:paraId="6DB65E3B" w14:textId="32FC84E1" w:rsidR="00D742E8" w:rsidRPr="00D742E8" w:rsidRDefault="00D742E8" w:rsidP="00726B2B">
            <w:pPr>
              <w:pStyle w:val="Paragraph"/>
              <w:spacing w:before="120"/>
              <w:ind w:firstLine="0"/>
              <w:contextualSpacing/>
              <w:jc w:val="center"/>
              <w:rPr>
                <w:sz w:val="18"/>
                <w:szCs w:val="18"/>
              </w:rPr>
            </w:pPr>
            <w:r w:rsidRPr="00D742E8">
              <w:rPr>
                <w:sz w:val="18"/>
                <w:szCs w:val="18"/>
              </w:rPr>
              <w:t>TABLE 1</w:t>
            </w:r>
            <w:r w:rsidR="00C025D8">
              <w:rPr>
                <w:sz w:val="18"/>
                <w:szCs w:val="18"/>
              </w:rPr>
              <w:t>.</w:t>
            </w:r>
            <w:r w:rsidRPr="00D742E8">
              <w:rPr>
                <w:sz w:val="18"/>
                <w:szCs w:val="18"/>
              </w:rPr>
              <w:t xml:space="preserve"> </w:t>
            </w:r>
            <w:r w:rsidRPr="00D742E8">
              <w:rPr>
                <w:b w:val="0"/>
                <w:bCs w:val="0"/>
                <w:sz w:val="18"/>
                <w:szCs w:val="18"/>
              </w:rPr>
              <w:t xml:space="preserve">Performance </w:t>
            </w:r>
            <w:r w:rsidR="000822CC">
              <w:rPr>
                <w:b w:val="0"/>
                <w:bCs w:val="0"/>
                <w:sz w:val="18"/>
                <w:szCs w:val="18"/>
              </w:rPr>
              <w:t>l</w:t>
            </w:r>
            <w:r w:rsidRPr="00D742E8">
              <w:rPr>
                <w:b w:val="0"/>
                <w:bCs w:val="0"/>
                <w:sz w:val="18"/>
                <w:szCs w:val="18"/>
              </w:rPr>
              <w:t xml:space="preserve">evels </w:t>
            </w:r>
            <w:r w:rsidR="000822CC">
              <w:rPr>
                <w:b w:val="0"/>
                <w:bCs w:val="0"/>
                <w:sz w:val="18"/>
                <w:szCs w:val="18"/>
              </w:rPr>
              <w:t>d</w:t>
            </w:r>
            <w:r w:rsidRPr="00D742E8">
              <w:rPr>
                <w:b w:val="0"/>
                <w:bCs w:val="0"/>
                <w:sz w:val="18"/>
                <w:szCs w:val="18"/>
              </w:rPr>
              <w:t>istributions</w:t>
            </w:r>
          </w:p>
        </w:tc>
      </w:tr>
      <w:tr w:rsidR="00EC45FD" w:rsidRPr="00D742E8" w14:paraId="60F24BCD" w14:textId="77777777" w:rsidTr="005F7E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6" w:type="dxa"/>
            <w:tcBorders>
              <w:top w:val="single" w:sz="4" w:space="0" w:color="auto"/>
              <w:bottom w:val="single" w:sz="4" w:space="0" w:color="auto"/>
            </w:tcBorders>
            <w:shd w:val="clear" w:color="auto" w:fill="FFFFFF" w:themeFill="background1"/>
          </w:tcPr>
          <w:p w14:paraId="3E7EFE8F" w14:textId="36C533F8" w:rsidR="00EC45FD" w:rsidRPr="00D742E8" w:rsidRDefault="005E69C3" w:rsidP="00726B2B">
            <w:pPr>
              <w:pStyle w:val="Paragraph"/>
              <w:ind w:firstLine="0"/>
              <w:contextualSpacing/>
              <w:jc w:val="center"/>
              <w:rPr>
                <w:sz w:val="18"/>
                <w:szCs w:val="18"/>
              </w:rPr>
            </w:pPr>
            <w:r w:rsidRPr="00D742E8">
              <w:rPr>
                <w:sz w:val="18"/>
                <w:szCs w:val="18"/>
              </w:rPr>
              <w:t>Performance Level</w:t>
            </w:r>
          </w:p>
        </w:tc>
        <w:tc>
          <w:tcPr>
            <w:tcW w:w="1844" w:type="dxa"/>
            <w:tcBorders>
              <w:top w:val="single" w:sz="4" w:space="0" w:color="auto"/>
              <w:bottom w:val="single" w:sz="4" w:space="0" w:color="auto"/>
            </w:tcBorders>
            <w:shd w:val="clear" w:color="auto" w:fill="FFFFFF" w:themeFill="background1"/>
          </w:tcPr>
          <w:p w14:paraId="28F888C5" w14:textId="77777777" w:rsidR="00EC45FD" w:rsidRPr="00D742E8" w:rsidRDefault="00EC45FD" w:rsidP="00726B2B">
            <w:pPr>
              <w:pStyle w:val="Paragraph"/>
              <w:ind w:firstLine="0"/>
              <w:contextual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D742E8">
              <w:rPr>
                <w:sz w:val="18"/>
                <w:szCs w:val="18"/>
              </w:rPr>
              <w:t>Frequency</w:t>
            </w:r>
          </w:p>
        </w:tc>
        <w:tc>
          <w:tcPr>
            <w:tcW w:w="1800" w:type="dxa"/>
            <w:tcBorders>
              <w:top w:val="single" w:sz="4" w:space="0" w:color="auto"/>
              <w:bottom w:val="single" w:sz="4" w:space="0" w:color="auto"/>
            </w:tcBorders>
            <w:shd w:val="clear" w:color="auto" w:fill="FFFFFF" w:themeFill="background1"/>
          </w:tcPr>
          <w:p w14:paraId="61A3B8B8" w14:textId="66A7A674" w:rsidR="00EC45FD" w:rsidRPr="00D742E8" w:rsidRDefault="00EC45FD" w:rsidP="00726B2B">
            <w:pPr>
              <w:pStyle w:val="Paragraph"/>
              <w:ind w:firstLine="0"/>
              <w:contextual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D742E8">
              <w:rPr>
                <w:sz w:val="18"/>
                <w:szCs w:val="18"/>
              </w:rPr>
              <w:t>Percentage</w:t>
            </w:r>
            <w:r w:rsidR="00FB124F" w:rsidRPr="00D742E8">
              <w:rPr>
                <w:sz w:val="18"/>
                <w:szCs w:val="18"/>
              </w:rPr>
              <w:t xml:space="preserve"> (%)</w:t>
            </w:r>
          </w:p>
        </w:tc>
      </w:tr>
      <w:tr w:rsidR="00EC45FD" w14:paraId="0AD0B6A1" w14:textId="77777777" w:rsidTr="005F7EB1">
        <w:tc>
          <w:tcPr>
            <w:cnfStyle w:val="001000000000" w:firstRow="0" w:lastRow="0" w:firstColumn="1" w:lastColumn="0" w:oddVBand="0" w:evenVBand="0" w:oddHBand="0" w:evenHBand="0" w:firstRowFirstColumn="0" w:firstRowLastColumn="0" w:lastRowFirstColumn="0" w:lastRowLastColumn="0"/>
            <w:tcW w:w="2026" w:type="dxa"/>
            <w:tcBorders>
              <w:top w:val="single" w:sz="4" w:space="0" w:color="auto"/>
              <w:bottom w:val="nil"/>
            </w:tcBorders>
          </w:tcPr>
          <w:p w14:paraId="4A52D2F6" w14:textId="17D3AE54" w:rsidR="00EC45FD" w:rsidRPr="00EC45FD" w:rsidRDefault="00FB124F" w:rsidP="00726B2B">
            <w:pPr>
              <w:pStyle w:val="Paragraph"/>
              <w:ind w:firstLine="0"/>
              <w:contextualSpacing/>
              <w:jc w:val="center"/>
              <w:rPr>
                <w:b w:val="0"/>
                <w:bCs w:val="0"/>
              </w:rPr>
            </w:pPr>
            <w:r>
              <w:rPr>
                <w:b w:val="0"/>
                <w:bCs w:val="0"/>
              </w:rPr>
              <w:t>Low</w:t>
            </w:r>
          </w:p>
        </w:tc>
        <w:tc>
          <w:tcPr>
            <w:tcW w:w="1844" w:type="dxa"/>
            <w:tcBorders>
              <w:top w:val="single" w:sz="4" w:space="0" w:color="auto"/>
              <w:bottom w:val="nil"/>
            </w:tcBorders>
          </w:tcPr>
          <w:p w14:paraId="6673F8E3" w14:textId="2480942C" w:rsidR="00EC45FD" w:rsidRPr="00EC45FD" w:rsidRDefault="00FB124F" w:rsidP="00726B2B">
            <w:pPr>
              <w:pStyle w:val="Paragraph"/>
              <w:ind w:firstLine="0"/>
              <w:contextualSpacing/>
              <w:jc w:val="center"/>
              <w:cnfStyle w:val="000000000000" w:firstRow="0" w:lastRow="0" w:firstColumn="0" w:lastColumn="0" w:oddVBand="0" w:evenVBand="0" w:oddHBand="0" w:evenHBand="0" w:firstRowFirstColumn="0" w:firstRowLastColumn="0" w:lastRowFirstColumn="0" w:lastRowLastColumn="0"/>
            </w:pPr>
            <w:r>
              <w:t>5</w:t>
            </w:r>
          </w:p>
        </w:tc>
        <w:tc>
          <w:tcPr>
            <w:tcW w:w="1800" w:type="dxa"/>
            <w:tcBorders>
              <w:top w:val="single" w:sz="4" w:space="0" w:color="auto"/>
              <w:bottom w:val="nil"/>
            </w:tcBorders>
          </w:tcPr>
          <w:p w14:paraId="0A200E49" w14:textId="1BFF488D" w:rsidR="00EC45FD" w:rsidRPr="00EC45FD" w:rsidRDefault="00FB124F" w:rsidP="00726B2B">
            <w:pPr>
              <w:pStyle w:val="Paragraph"/>
              <w:ind w:firstLine="0"/>
              <w:contextualSpacing/>
              <w:jc w:val="center"/>
              <w:cnfStyle w:val="000000000000" w:firstRow="0" w:lastRow="0" w:firstColumn="0" w:lastColumn="0" w:oddVBand="0" w:evenVBand="0" w:oddHBand="0" w:evenHBand="0" w:firstRowFirstColumn="0" w:firstRowLastColumn="0" w:lastRowFirstColumn="0" w:lastRowLastColumn="0"/>
            </w:pPr>
            <w:r>
              <w:t>16.67</w:t>
            </w:r>
          </w:p>
        </w:tc>
      </w:tr>
      <w:tr w:rsidR="00FB124F" w14:paraId="664AA099" w14:textId="77777777" w:rsidTr="005F7E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6" w:type="dxa"/>
            <w:tcBorders>
              <w:bottom w:val="nil"/>
            </w:tcBorders>
            <w:shd w:val="clear" w:color="auto" w:fill="auto"/>
          </w:tcPr>
          <w:p w14:paraId="049F7FB0" w14:textId="43E92247" w:rsidR="00FB124F" w:rsidRPr="00FB124F" w:rsidRDefault="00FB124F" w:rsidP="00726B2B">
            <w:pPr>
              <w:pStyle w:val="Paragraph"/>
              <w:ind w:firstLine="0"/>
              <w:contextualSpacing/>
              <w:jc w:val="center"/>
              <w:rPr>
                <w:b w:val="0"/>
                <w:bCs w:val="0"/>
              </w:rPr>
            </w:pPr>
            <w:r w:rsidRPr="00FB124F">
              <w:rPr>
                <w:b w:val="0"/>
                <w:bCs w:val="0"/>
              </w:rPr>
              <w:t>Average</w:t>
            </w:r>
          </w:p>
        </w:tc>
        <w:tc>
          <w:tcPr>
            <w:tcW w:w="1844" w:type="dxa"/>
            <w:tcBorders>
              <w:bottom w:val="nil"/>
            </w:tcBorders>
            <w:shd w:val="clear" w:color="auto" w:fill="auto"/>
          </w:tcPr>
          <w:p w14:paraId="75F23A3B" w14:textId="398E8DCD" w:rsidR="00FB124F" w:rsidRPr="00FB124F" w:rsidRDefault="00FB124F" w:rsidP="00726B2B">
            <w:pPr>
              <w:pStyle w:val="Paragraph"/>
              <w:ind w:firstLine="0"/>
              <w:contextualSpacing/>
              <w:jc w:val="center"/>
              <w:cnfStyle w:val="000000100000" w:firstRow="0" w:lastRow="0" w:firstColumn="0" w:lastColumn="0" w:oddVBand="0" w:evenVBand="0" w:oddHBand="1" w:evenHBand="0" w:firstRowFirstColumn="0" w:firstRowLastColumn="0" w:lastRowFirstColumn="0" w:lastRowLastColumn="0"/>
            </w:pPr>
            <w:r>
              <w:t>10</w:t>
            </w:r>
          </w:p>
        </w:tc>
        <w:tc>
          <w:tcPr>
            <w:tcW w:w="1800" w:type="dxa"/>
            <w:tcBorders>
              <w:bottom w:val="nil"/>
            </w:tcBorders>
            <w:shd w:val="clear" w:color="auto" w:fill="auto"/>
          </w:tcPr>
          <w:p w14:paraId="68B0EB95" w14:textId="48B92C6D" w:rsidR="00FB124F" w:rsidRPr="00FB124F" w:rsidRDefault="00FB124F" w:rsidP="00726B2B">
            <w:pPr>
              <w:pStyle w:val="Paragraph"/>
              <w:ind w:firstLine="0"/>
              <w:contextualSpacing/>
              <w:jc w:val="center"/>
              <w:cnfStyle w:val="000000100000" w:firstRow="0" w:lastRow="0" w:firstColumn="0" w:lastColumn="0" w:oddVBand="0" w:evenVBand="0" w:oddHBand="1" w:evenHBand="0" w:firstRowFirstColumn="0" w:firstRowLastColumn="0" w:lastRowFirstColumn="0" w:lastRowLastColumn="0"/>
            </w:pPr>
            <w:r>
              <w:t>33.33</w:t>
            </w:r>
          </w:p>
        </w:tc>
      </w:tr>
      <w:tr w:rsidR="00EC45FD" w14:paraId="6CABE546" w14:textId="77777777" w:rsidTr="00D6269C">
        <w:tc>
          <w:tcPr>
            <w:cnfStyle w:val="001000000000" w:firstRow="0" w:lastRow="0" w:firstColumn="1" w:lastColumn="0" w:oddVBand="0" w:evenVBand="0" w:oddHBand="0" w:evenHBand="0" w:firstRowFirstColumn="0" w:firstRowLastColumn="0" w:lastRowFirstColumn="0" w:lastRowLastColumn="0"/>
            <w:tcW w:w="2026" w:type="dxa"/>
            <w:tcBorders>
              <w:top w:val="nil"/>
              <w:bottom w:val="nil"/>
            </w:tcBorders>
          </w:tcPr>
          <w:p w14:paraId="03FAE322" w14:textId="3FDB989D" w:rsidR="00EC45FD" w:rsidRPr="00EC45FD" w:rsidRDefault="00FB124F" w:rsidP="00726B2B">
            <w:pPr>
              <w:pStyle w:val="Paragraph"/>
              <w:ind w:firstLine="0"/>
              <w:contextualSpacing/>
              <w:jc w:val="center"/>
              <w:rPr>
                <w:b w:val="0"/>
                <w:bCs w:val="0"/>
              </w:rPr>
            </w:pPr>
            <w:r>
              <w:rPr>
                <w:b w:val="0"/>
                <w:bCs w:val="0"/>
              </w:rPr>
              <w:t>High</w:t>
            </w:r>
          </w:p>
        </w:tc>
        <w:tc>
          <w:tcPr>
            <w:tcW w:w="1844" w:type="dxa"/>
            <w:tcBorders>
              <w:top w:val="nil"/>
              <w:bottom w:val="nil"/>
            </w:tcBorders>
          </w:tcPr>
          <w:p w14:paraId="4AE83C02" w14:textId="13A44D7B" w:rsidR="00EC45FD" w:rsidRPr="00EC45FD" w:rsidRDefault="00EC45FD" w:rsidP="00726B2B">
            <w:pPr>
              <w:pStyle w:val="Paragraph"/>
              <w:ind w:firstLine="0"/>
              <w:contextualSpacing/>
              <w:jc w:val="center"/>
              <w:cnfStyle w:val="000000000000" w:firstRow="0" w:lastRow="0" w:firstColumn="0" w:lastColumn="0" w:oddVBand="0" w:evenVBand="0" w:oddHBand="0" w:evenHBand="0" w:firstRowFirstColumn="0" w:firstRowLastColumn="0" w:lastRowFirstColumn="0" w:lastRowLastColumn="0"/>
            </w:pPr>
            <w:r w:rsidRPr="00EC45FD">
              <w:t>1</w:t>
            </w:r>
            <w:r w:rsidR="00FB124F">
              <w:t>5</w:t>
            </w:r>
          </w:p>
        </w:tc>
        <w:tc>
          <w:tcPr>
            <w:tcW w:w="1800" w:type="dxa"/>
            <w:tcBorders>
              <w:top w:val="nil"/>
              <w:bottom w:val="nil"/>
            </w:tcBorders>
          </w:tcPr>
          <w:p w14:paraId="4A52FC75" w14:textId="5285F3D4" w:rsidR="00EC45FD" w:rsidRPr="00EC45FD" w:rsidRDefault="00FB124F" w:rsidP="00726B2B">
            <w:pPr>
              <w:pStyle w:val="Paragraph"/>
              <w:ind w:firstLine="0"/>
              <w:contextualSpacing/>
              <w:jc w:val="center"/>
              <w:cnfStyle w:val="000000000000" w:firstRow="0" w:lastRow="0" w:firstColumn="0" w:lastColumn="0" w:oddVBand="0" w:evenVBand="0" w:oddHBand="0" w:evenHBand="0" w:firstRowFirstColumn="0" w:firstRowLastColumn="0" w:lastRowFirstColumn="0" w:lastRowLastColumn="0"/>
            </w:pPr>
            <w:r>
              <w:t>50.00</w:t>
            </w:r>
          </w:p>
        </w:tc>
      </w:tr>
      <w:tr w:rsidR="00EC45FD" w14:paraId="08D7EACA" w14:textId="77777777" w:rsidTr="00D62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6" w:type="dxa"/>
            <w:tcBorders>
              <w:top w:val="nil"/>
              <w:bottom w:val="single" w:sz="4" w:space="0" w:color="000000" w:themeColor="text1"/>
            </w:tcBorders>
            <w:shd w:val="clear" w:color="auto" w:fill="auto"/>
          </w:tcPr>
          <w:p w14:paraId="1987A74B" w14:textId="77777777" w:rsidR="00EC45FD" w:rsidRPr="00EC45FD" w:rsidRDefault="00EC45FD" w:rsidP="00726B2B">
            <w:pPr>
              <w:pStyle w:val="Paragraph"/>
              <w:ind w:firstLine="0"/>
              <w:contextualSpacing/>
              <w:jc w:val="center"/>
              <w:rPr>
                <w:b w:val="0"/>
                <w:bCs w:val="0"/>
              </w:rPr>
            </w:pPr>
            <w:r w:rsidRPr="00EC45FD">
              <w:rPr>
                <w:b w:val="0"/>
                <w:bCs w:val="0"/>
              </w:rPr>
              <w:t>Total</w:t>
            </w:r>
          </w:p>
        </w:tc>
        <w:tc>
          <w:tcPr>
            <w:tcW w:w="1844" w:type="dxa"/>
            <w:tcBorders>
              <w:top w:val="nil"/>
              <w:bottom w:val="single" w:sz="4" w:space="0" w:color="000000" w:themeColor="text1"/>
            </w:tcBorders>
            <w:shd w:val="clear" w:color="auto" w:fill="auto"/>
          </w:tcPr>
          <w:p w14:paraId="04299B47" w14:textId="77777777" w:rsidR="00EC45FD" w:rsidRPr="00EC45FD" w:rsidRDefault="00EC45FD" w:rsidP="00726B2B">
            <w:pPr>
              <w:pStyle w:val="Paragraph"/>
              <w:ind w:firstLine="0"/>
              <w:contextualSpacing/>
              <w:jc w:val="center"/>
              <w:cnfStyle w:val="000000100000" w:firstRow="0" w:lastRow="0" w:firstColumn="0" w:lastColumn="0" w:oddVBand="0" w:evenVBand="0" w:oddHBand="1" w:evenHBand="0" w:firstRowFirstColumn="0" w:firstRowLastColumn="0" w:lastRowFirstColumn="0" w:lastRowLastColumn="0"/>
            </w:pPr>
            <w:r w:rsidRPr="00EC45FD">
              <w:t>30</w:t>
            </w:r>
          </w:p>
        </w:tc>
        <w:tc>
          <w:tcPr>
            <w:tcW w:w="1800" w:type="dxa"/>
            <w:tcBorders>
              <w:top w:val="nil"/>
              <w:bottom w:val="single" w:sz="4" w:space="0" w:color="000000" w:themeColor="text1"/>
            </w:tcBorders>
            <w:shd w:val="clear" w:color="auto" w:fill="auto"/>
          </w:tcPr>
          <w:p w14:paraId="4B369AA8" w14:textId="402CB493" w:rsidR="00EC45FD" w:rsidRPr="00EC45FD" w:rsidRDefault="00FB124F" w:rsidP="00726B2B">
            <w:pPr>
              <w:pStyle w:val="Paragraph"/>
              <w:ind w:firstLine="0"/>
              <w:contextualSpacing/>
              <w:jc w:val="center"/>
              <w:cnfStyle w:val="000000100000" w:firstRow="0" w:lastRow="0" w:firstColumn="0" w:lastColumn="0" w:oddVBand="0" w:evenVBand="0" w:oddHBand="1" w:evenHBand="0" w:firstRowFirstColumn="0" w:firstRowLastColumn="0" w:lastRowFirstColumn="0" w:lastRowLastColumn="0"/>
            </w:pPr>
            <w:r>
              <w:t>100.00</w:t>
            </w:r>
          </w:p>
        </w:tc>
      </w:tr>
    </w:tbl>
    <w:p w14:paraId="7F98EDFB" w14:textId="77777777" w:rsidR="001A5333" w:rsidRPr="005F7EB1" w:rsidRDefault="001A5333" w:rsidP="00726B2B">
      <w:pPr>
        <w:pStyle w:val="Heading2"/>
        <w:contextualSpacing/>
      </w:pPr>
      <w:r w:rsidRPr="005F7EB1">
        <w:t>Validity and Reliability of Instrument</w:t>
      </w:r>
    </w:p>
    <w:p w14:paraId="1B4380F6" w14:textId="12065C9E" w:rsidR="004D601C" w:rsidRPr="005F7EB1" w:rsidRDefault="001A5333" w:rsidP="00726B2B">
      <w:pPr>
        <w:pStyle w:val="Paragraph"/>
        <w:ind w:firstLine="288"/>
        <w:contextualSpacing/>
      </w:pPr>
      <w:r w:rsidRPr="005F7EB1">
        <w:t>Th</w:t>
      </w:r>
      <w:r w:rsidR="005608C4" w:rsidRPr="005F7EB1">
        <w:t>e</w:t>
      </w:r>
      <w:r w:rsidRPr="005F7EB1">
        <w:t xml:space="preserve"> instrument</w:t>
      </w:r>
      <w:r w:rsidR="005608C4" w:rsidRPr="005F7EB1">
        <w:t xml:space="preserve"> (questionnaire)</w:t>
      </w:r>
      <w:r w:rsidRPr="005F7EB1">
        <w:t xml:space="preserve"> </w:t>
      </w:r>
      <w:r w:rsidR="001A1C63" w:rsidRPr="005F7EB1">
        <w:t>i</w:t>
      </w:r>
      <w:r w:rsidRPr="005F7EB1">
        <w:t xml:space="preserve">s sent for validation by five experienced lecturers </w:t>
      </w:r>
      <w:r w:rsidR="001A1C63" w:rsidRPr="005F7EB1">
        <w:t>in</w:t>
      </w:r>
      <w:r w:rsidRPr="005F7EB1">
        <w:t xml:space="preserve"> an established local university</w:t>
      </w:r>
      <w:r w:rsidR="00AA70CC" w:rsidRPr="005F7EB1">
        <w:t>. T</w:t>
      </w:r>
      <w:r w:rsidRPr="005F7EB1">
        <w:t>he language in th</w:t>
      </w:r>
      <w:r w:rsidR="001A1C63" w:rsidRPr="005F7EB1">
        <w:t>e</w:t>
      </w:r>
      <w:r w:rsidRPr="005F7EB1">
        <w:t xml:space="preserve"> instrument </w:t>
      </w:r>
      <w:r w:rsidR="001A1C63" w:rsidRPr="005F7EB1">
        <w:t>i</w:t>
      </w:r>
      <w:r w:rsidRPr="005F7EB1">
        <w:t xml:space="preserve">s also vetted by the English lecturer. </w:t>
      </w:r>
      <w:r w:rsidR="001A1C63" w:rsidRPr="005F7EB1">
        <w:t xml:space="preserve">Furthermore, reliability </w:t>
      </w:r>
      <w:r w:rsidR="00553089" w:rsidRPr="005F7EB1">
        <w:t>and validity are</w:t>
      </w:r>
      <w:r w:rsidRPr="005F7EB1">
        <w:t xml:space="preserve"> </w:t>
      </w:r>
      <w:r w:rsidRPr="005F7EB1">
        <w:lastRenderedPageBreak/>
        <w:t>calculated and generated by SPSS</w:t>
      </w:r>
      <w:r w:rsidR="00553089" w:rsidRPr="005F7EB1">
        <w:t xml:space="preserve"> using Cronbach alpha coefficient (α) and Exploratory Factor Analysis (EPA)</w:t>
      </w:r>
      <w:r w:rsidR="001A1C63" w:rsidRPr="005F7EB1">
        <w:t>. The</w:t>
      </w:r>
      <w:r w:rsidRPr="005F7EB1">
        <w:t xml:space="preserve"> α </w:t>
      </w:r>
      <w:r w:rsidR="001A1C63" w:rsidRPr="005F7EB1">
        <w:t>generated is</w:t>
      </w:r>
      <w:r w:rsidRPr="005F7EB1">
        <w:t xml:space="preserve"> .946</w:t>
      </w:r>
      <w:r w:rsidR="00553089" w:rsidRPr="005F7EB1">
        <w:t>,</w:t>
      </w:r>
      <w:r w:rsidRPr="005F7EB1">
        <w:t xml:space="preserve"> i</w:t>
      </w:r>
      <w:r w:rsidR="001A1C63" w:rsidRPr="005F7EB1">
        <w:t>mplies</w:t>
      </w:r>
      <w:r w:rsidRPr="005F7EB1">
        <w:t xml:space="preserve"> that </w:t>
      </w:r>
      <w:r w:rsidR="001A1C63" w:rsidRPr="005F7EB1">
        <w:t>the instrument</w:t>
      </w:r>
      <w:r w:rsidRPr="005F7EB1">
        <w:t xml:space="preserve"> has internal consistency </w:t>
      </w:r>
      <w:r w:rsidR="00C45232">
        <w:t>[35]</w:t>
      </w:r>
      <w:r w:rsidR="001A1C63" w:rsidRPr="005F7EB1">
        <w:t xml:space="preserve"> </w:t>
      </w:r>
      <w:r w:rsidRPr="005F7EB1">
        <w:t xml:space="preserve">and is reliable </w:t>
      </w:r>
      <w:r w:rsidR="00C45232">
        <w:t>[36]</w:t>
      </w:r>
      <w:r w:rsidR="001A1C63" w:rsidRPr="005F7EB1">
        <w:t xml:space="preserve"> </w:t>
      </w:r>
      <w:r w:rsidRPr="005F7EB1">
        <w:t xml:space="preserve">in measuring students’ perception on the use of CA in </w:t>
      </w:r>
      <w:r w:rsidR="001A1C63" w:rsidRPr="005F7EB1">
        <w:t xml:space="preserve">their mathematics </w:t>
      </w:r>
      <w:r w:rsidRPr="005F7EB1">
        <w:t>learning.</w:t>
      </w:r>
      <w:r w:rsidR="001E01A9" w:rsidRPr="005F7EB1">
        <w:t xml:space="preserve"> In t</w:t>
      </w:r>
      <w:r w:rsidR="00553089" w:rsidRPr="005F7EB1">
        <w:t xml:space="preserve">he </w:t>
      </w:r>
      <w:r w:rsidR="004D601C" w:rsidRPr="005F7EB1">
        <w:t>Exploratory Factor Analysis (EPA)</w:t>
      </w:r>
      <w:r w:rsidR="001E01A9" w:rsidRPr="005F7EB1">
        <w:t>, a</w:t>
      </w:r>
      <w:r w:rsidR="00A85167" w:rsidRPr="005F7EB1">
        <w:t>n item</w:t>
      </w:r>
      <w:r w:rsidR="007D0BEC" w:rsidRPr="005F7EB1">
        <w:t xml:space="preserve"> with factor loading of at least .500 is retained.</w:t>
      </w:r>
      <w:r w:rsidR="004D601C" w:rsidRPr="005F7EB1">
        <w:t xml:space="preserve"> </w:t>
      </w:r>
    </w:p>
    <w:p w14:paraId="601E17A8" w14:textId="35CF0B12" w:rsidR="007D0BEC" w:rsidRPr="005F7EB1" w:rsidRDefault="00C3031E" w:rsidP="00726B2B">
      <w:pPr>
        <w:pStyle w:val="Heading2"/>
        <w:contextualSpacing/>
      </w:pPr>
      <w:r w:rsidRPr="005F7EB1">
        <w:t>Normality Test</w:t>
      </w:r>
    </w:p>
    <w:p w14:paraId="3BDD5247" w14:textId="6B885383" w:rsidR="00E134B0" w:rsidRPr="005F7EB1" w:rsidRDefault="00397F28" w:rsidP="00726B2B">
      <w:pPr>
        <w:pStyle w:val="Paragraph"/>
        <w:ind w:firstLine="288"/>
        <w:contextualSpacing/>
      </w:pPr>
      <w:r w:rsidRPr="005F7EB1">
        <w:t>The normality test of the data is conducted through the skewness and kurtosis analysis</w:t>
      </w:r>
      <w:r w:rsidR="005608C4" w:rsidRPr="005F7EB1">
        <w:t xml:space="preserve">. </w:t>
      </w:r>
      <w:r w:rsidRPr="005F7EB1">
        <w:t>Skewness measures the symmetry of a distribution, while kurtosis measures the degree to which the data cluster in the tails of a distribution</w:t>
      </w:r>
      <w:r w:rsidR="00C45232">
        <w:t xml:space="preserve"> [37]</w:t>
      </w:r>
      <w:r w:rsidRPr="005F7EB1">
        <w:t xml:space="preserve">. </w:t>
      </w:r>
      <w:r w:rsidR="005608C4" w:rsidRPr="005F7EB1">
        <w:t>The values of the coefficient of skewness is .221 and coefficient of kurtosis is –.740. Both t</w:t>
      </w:r>
      <w:r w:rsidR="00AA70CC" w:rsidRPr="005F7EB1">
        <w:t xml:space="preserve">he values </w:t>
      </w:r>
      <w:r w:rsidR="002D6A06" w:rsidRPr="005F7EB1">
        <w:t xml:space="preserve">are </w:t>
      </w:r>
      <w:r w:rsidRPr="005F7EB1">
        <w:t xml:space="preserve">within absolute value of </w:t>
      </w:r>
      <w:r w:rsidR="00283485" w:rsidRPr="005F7EB1">
        <w:t>1</w:t>
      </w:r>
      <w:r w:rsidR="00AA70CC" w:rsidRPr="005F7EB1">
        <w:t xml:space="preserve">, </w:t>
      </w:r>
      <w:r w:rsidR="00283485" w:rsidRPr="005F7EB1">
        <w:t xml:space="preserve">considered as </w:t>
      </w:r>
      <w:r w:rsidR="00B54FFD" w:rsidRPr="005F7EB1">
        <w:t>excellent</w:t>
      </w:r>
      <w:r w:rsidR="00283485" w:rsidRPr="005F7EB1">
        <w:t xml:space="preserve"> value</w:t>
      </w:r>
      <w:r w:rsidRPr="005F7EB1">
        <w:t xml:space="preserve"> </w:t>
      </w:r>
      <w:r w:rsidR="002D6A06" w:rsidRPr="005F7EB1">
        <w:t>and</w:t>
      </w:r>
      <w:r w:rsidRPr="005F7EB1">
        <w:t xml:space="preserve"> </w:t>
      </w:r>
      <w:r w:rsidR="004B5111" w:rsidRPr="005F7EB1">
        <w:t>the</w:t>
      </w:r>
      <w:r w:rsidRPr="005F7EB1">
        <w:t xml:space="preserve"> data are reasonably symmetric and normally distributed</w:t>
      </w:r>
      <w:r w:rsidR="00C45232">
        <w:t xml:space="preserve"> [35]</w:t>
      </w:r>
      <w:r w:rsidR="00EE6F19">
        <w:t>.</w:t>
      </w:r>
    </w:p>
    <w:p w14:paraId="028A82D7" w14:textId="34AA4A7B" w:rsidR="00397F28" w:rsidRPr="005F7EB1" w:rsidRDefault="00C15570" w:rsidP="00726B2B">
      <w:pPr>
        <w:pStyle w:val="Heading2"/>
        <w:contextualSpacing/>
      </w:pPr>
      <w:r w:rsidRPr="005F7EB1">
        <w:t>Descriptive Statistics</w:t>
      </w:r>
    </w:p>
    <w:p w14:paraId="08BBF24E" w14:textId="1A3221A5" w:rsidR="001C493C" w:rsidRPr="005F7EB1" w:rsidRDefault="00015611" w:rsidP="00726B2B">
      <w:pPr>
        <w:pStyle w:val="Paragraph"/>
        <w:ind w:firstLine="288"/>
        <w:contextualSpacing/>
      </w:pPr>
      <w:r w:rsidRPr="005F7EB1">
        <w:t xml:space="preserve">The </w:t>
      </w:r>
      <w:r w:rsidR="00F84E50" w:rsidRPr="005F7EB1">
        <w:rPr>
          <w:rFonts w:hint="eastAsia"/>
        </w:rPr>
        <w:t xml:space="preserve">analysis of </w:t>
      </w:r>
      <w:r w:rsidRPr="005F7EB1">
        <w:t>SPCA was conducted to evaluate the</w:t>
      </w:r>
      <w:r w:rsidR="00DB01AE" w:rsidRPr="005F7EB1">
        <w:rPr>
          <w:rFonts w:hint="eastAsia"/>
        </w:rPr>
        <w:t xml:space="preserve"> students</w:t>
      </w:r>
      <w:r w:rsidR="00DB01AE" w:rsidRPr="005F7EB1">
        <w:t>’</w:t>
      </w:r>
      <w:r w:rsidRPr="005F7EB1">
        <w:t xml:space="preserve"> </w:t>
      </w:r>
      <w:r w:rsidR="00DB01AE" w:rsidRPr="005F7EB1">
        <w:rPr>
          <w:rFonts w:hint="eastAsia"/>
        </w:rPr>
        <w:t>perceptions of CA</w:t>
      </w:r>
      <w:r w:rsidR="00F84E50" w:rsidRPr="005F7EB1">
        <w:rPr>
          <w:rFonts w:hint="eastAsia"/>
        </w:rPr>
        <w:t>.</w:t>
      </w:r>
      <w:r w:rsidRPr="005F7EB1">
        <w:t xml:space="preserve"> </w:t>
      </w:r>
      <w:r w:rsidR="005C6275" w:rsidRPr="005F7EB1">
        <w:t xml:space="preserve">The overall mean score </w:t>
      </w:r>
      <w:r w:rsidR="00C97858" w:rsidRPr="005F7EB1">
        <w:t>i</w:t>
      </w:r>
      <w:r w:rsidR="005C6275" w:rsidRPr="005F7EB1">
        <w:t xml:space="preserve">s 4.1400 with a standard deviation of .4832, indicating a generally high level of positive perception towards the use of the conversational agent in mathematics learning, with moderate consistency in responses. </w:t>
      </w:r>
    </w:p>
    <w:p w14:paraId="072EF40F" w14:textId="1E931F52" w:rsidR="001C493C" w:rsidRPr="005F7EB1" w:rsidRDefault="009B6086" w:rsidP="00726B2B">
      <w:pPr>
        <w:pStyle w:val="Heading2"/>
        <w:contextualSpacing/>
      </w:pPr>
      <w:r w:rsidRPr="005F7EB1">
        <w:t>t-tests</w:t>
      </w:r>
    </w:p>
    <w:p w14:paraId="16908F8D" w14:textId="01E129CD" w:rsidR="004E0A2D" w:rsidRDefault="009B6086" w:rsidP="00726B2B">
      <w:pPr>
        <w:pStyle w:val="Paragraph"/>
        <w:ind w:firstLine="288"/>
        <w:contextualSpacing/>
      </w:pPr>
      <w:r w:rsidRPr="005F7EB1">
        <w:t>t-tests (</w:t>
      </w:r>
      <w:r w:rsidR="00400882" w:rsidRPr="005F7EB1">
        <w:t>including</w:t>
      </w:r>
      <w:r w:rsidRPr="005F7EB1">
        <w:t xml:space="preserve"> </w:t>
      </w:r>
      <w:r w:rsidR="001C493C" w:rsidRPr="005F7EB1">
        <w:t>ANOVA</w:t>
      </w:r>
      <w:r w:rsidRPr="005F7EB1">
        <w:t>) are</w:t>
      </w:r>
      <w:r w:rsidR="001C493C" w:rsidRPr="005F7EB1">
        <w:t xml:space="preserve"> used to compare the means of the independent groups (gender and performance levels) to determine if there is a statistically significant difference among them. </w:t>
      </w:r>
    </w:p>
    <w:p w14:paraId="024E829C" w14:textId="7DCE1761" w:rsidR="005F7EB1" w:rsidRDefault="004E0A2D" w:rsidP="00E25659">
      <w:pPr>
        <w:pStyle w:val="Paragraph"/>
        <w:ind w:firstLine="288"/>
        <w:contextualSpacing/>
      </w:pPr>
      <w:r w:rsidRPr="005F7EB1">
        <w:rPr>
          <w:rFonts w:hint="eastAsia"/>
        </w:rPr>
        <w:t>First, the</w:t>
      </w:r>
      <w:r w:rsidRPr="005F7EB1">
        <w:t xml:space="preserve"> </w:t>
      </w:r>
      <w:r w:rsidR="009B6086" w:rsidRPr="005F7EB1">
        <w:t>t -</w:t>
      </w:r>
      <w:r w:rsidRPr="005F7EB1">
        <w:t xml:space="preserve">test was conducted to determine if there are significant differences in students' perceptions of using a conversational agent (CA) in mathematics learning based on gender. </w:t>
      </w:r>
      <w:r w:rsidRPr="005F7EB1">
        <w:rPr>
          <w:rFonts w:hint="eastAsia"/>
        </w:rPr>
        <w:t>T</w:t>
      </w:r>
      <w:r w:rsidRPr="005F7EB1">
        <w:t>he null hypothesis (H</w:t>
      </w:r>
      <w:r w:rsidRPr="005F7EB1">
        <w:rPr>
          <w:rFonts w:hint="eastAsia"/>
        </w:rPr>
        <w:t>1</w:t>
      </w:r>
      <w:r w:rsidRPr="005F7EB1">
        <w:t>)</w:t>
      </w:r>
      <w:r w:rsidRPr="005F7EB1">
        <w:rPr>
          <w:rFonts w:hint="eastAsia"/>
        </w:rPr>
        <w:t xml:space="preserve"> is</w:t>
      </w:r>
      <w:r w:rsidR="004A085D">
        <w:t xml:space="preserve"> as follows:</w:t>
      </w:r>
    </w:p>
    <w:p w14:paraId="15E937CD" w14:textId="31C86E59" w:rsidR="005F7EB1" w:rsidRDefault="004E0A2D" w:rsidP="00E25659">
      <w:pPr>
        <w:pStyle w:val="Paragraph"/>
        <w:ind w:firstLine="288"/>
        <w:contextualSpacing/>
      </w:pPr>
      <w:r w:rsidRPr="005F7EB1">
        <w:rPr>
          <w:rFonts w:hint="eastAsia"/>
        </w:rPr>
        <w:t xml:space="preserve">H1: </w:t>
      </w:r>
      <w:r w:rsidR="007325F0" w:rsidRPr="005F7EB1">
        <w:t>N</w:t>
      </w:r>
      <w:r w:rsidRPr="005F7EB1">
        <w:t xml:space="preserve">o significant differences in perception based on gender. </w:t>
      </w:r>
    </w:p>
    <w:p w14:paraId="11964516" w14:textId="5C7A0E24" w:rsidR="009B6086" w:rsidRDefault="007325F0" w:rsidP="00726B2B">
      <w:pPr>
        <w:pStyle w:val="Paragraph"/>
        <w:ind w:firstLine="288"/>
        <w:contextualSpacing/>
      </w:pPr>
      <w:r w:rsidRPr="005F7EB1">
        <w:t>Table 2 summarizes the t -test</w:t>
      </w:r>
      <w:r w:rsidR="004E0A2D" w:rsidRPr="005F7EB1">
        <w:t xml:space="preserve"> results.</w:t>
      </w:r>
    </w:p>
    <w:p w14:paraId="5BD2E1AD" w14:textId="77777777" w:rsidR="00E25659" w:rsidRDefault="00E25659" w:rsidP="00726B2B">
      <w:pPr>
        <w:pStyle w:val="Paragraph"/>
        <w:ind w:firstLine="288"/>
        <w:contextualSpacing/>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0"/>
        <w:gridCol w:w="1140"/>
        <w:gridCol w:w="1140"/>
        <w:gridCol w:w="1140"/>
        <w:gridCol w:w="1140"/>
        <w:gridCol w:w="1320"/>
        <w:gridCol w:w="1140"/>
        <w:gridCol w:w="1140"/>
      </w:tblGrid>
      <w:tr w:rsidR="005F7EB1" w:rsidRPr="005F7EB1" w14:paraId="06B758DF" w14:textId="77777777" w:rsidTr="005F7EB1">
        <w:trPr>
          <w:trHeight w:val="242"/>
          <w:jc w:val="center"/>
        </w:trPr>
        <w:tc>
          <w:tcPr>
            <w:tcW w:w="9300" w:type="dxa"/>
            <w:gridSpan w:val="8"/>
            <w:tcBorders>
              <w:top w:val="nil"/>
              <w:left w:val="nil"/>
              <w:bottom w:val="nil"/>
              <w:right w:val="nil"/>
            </w:tcBorders>
          </w:tcPr>
          <w:p w14:paraId="36557006" w14:textId="21866192" w:rsidR="005F7EB1" w:rsidRPr="005F7EB1" w:rsidRDefault="005F7EB1" w:rsidP="00726B2B">
            <w:pPr>
              <w:pStyle w:val="ListParagraph"/>
              <w:spacing w:before="120"/>
              <w:ind w:left="0"/>
              <w:jc w:val="center"/>
              <w:rPr>
                <w:b/>
                <w:bCs/>
                <w:i/>
                <w:sz w:val="18"/>
                <w:szCs w:val="18"/>
              </w:rPr>
            </w:pPr>
            <w:r w:rsidRPr="005F7EB1">
              <w:rPr>
                <w:b/>
                <w:bCs/>
                <w:sz w:val="18"/>
                <w:szCs w:val="18"/>
              </w:rPr>
              <w:t>TABLE 2</w:t>
            </w:r>
            <w:r w:rsidR="00A816A7">
              <w:rPr>
                <w:sz w:val="18"/>
                <w:szCs w:val="18"/>
              </w:rPr>
              <w:t>.</w:t>
            </w:r>
            <w:r w:rsidRPr="005F7EB1">
              <w:rPr>
                <w:sz w:val="18"/>
                <w:szCs w:val="18"/>
              </w:rPr>
              <w:t xml:space="preserve"> </w:t>
            </w:r>
            <w:r w:rsidRPr="005F7EB1">
              <w:rPr>
                <w:i/>
                <w:iCs/>
                <w:sz w:val="18"/>
                <w:szCs w:val="18"/>
              </w:rPr>
              <w:t>t</w:t>
            </w:r>
            <w:r w:rsidRPr="005F7EB1">
              <w:rPr>
                <w:sz w:val="18"/>
                <w:szCs w:val="18"/>
              </w:rPr>
              <w:t xml:space="preserve">-test based on </w:t>
            </w:r>
            <w:r w:rsidR="00D931CE">
              <w:rPr>
                <w:sz w:val="18"/>
                <w:szCs w:val="18"/>
              </w:rPr>
              <w:t>g</w:t>
            </w:r>
            <w:r w:rsidRPr="005F7EB1">
              <w:rPr>
                <w:sz w:val="18"/>
                <w:szCs w:val="18"/>
              </w:rPr>
              <w:t>ender</w:t>
            </w:r>
          </w:p>
        </w:tc>
      </w:tr>
      <w:tr w:rsidR="009B6086" w:rsidRPr="005F7EB1" w14:paraId="47CA7ACF" w14:textId="77777777" w:rsidTr="005F7EB1">
        <w:trPr>
          <w:jc w:val="center"/>
        </w:trPr>
        <w:tc>
          <w:tcPr>
            <w:tcW w:w="1140" w:type="dxa"/>
            <w:tcBorders>
              <w:top w:val="single" w:sz="4" w:space="0" w:color="auto"/>
              <w:left w:val="nil"/>
              <w:bottom w:val="nil"/>
              <w:right w:val="nil"/>
            </w:tcBorders>
          </w:tcPr>
          <w:p w14:paraId="579FD6C1" w14:textId="6401E1C3" w:rsidR="009B6086" w:rsidRPr="005F7EB1" w:rsidRDefault="009B6086" w:rsidP="00726B2B">
            <w:pPr>
              <w:pStyle w:val="ListParagraph"/>
              <w:ind w:left="0"/>
              <w:rPr>
                <w:b/>
                <w:bCs/>
                <w:sz w:val="18"/>
                <w:szCs w:val="18"/>
              </w:rPr>
            </w:pPr>
            <w:r w:rsidRPr="005F7EB1">
              <w:rPr>
                <w:b/>
                <w:bCs/>
                <w:sz w:val="18"/>
                <w:szCs w:val="18"/>
              </w:rPr>
              <w:t>Gender</w:t>
            </w:r>
          </w:p>
        </w:tc>
        <w:tc>
          <w:tcPr>
            <w:tcW w:w="1140" w:type="dxa"/>
            <w:tcBorders>
              <w:top w:val="single" w:sz="4" w:space="0" w:color="auto"/>
              <w:left w:val="nil"/>
              <w:bottom w:val="nil"/>
              <w:right w:val="nil"/>
            </w:tcBorders>
          </w:tcPr>
          <w:p w14:paraId="29FE9650" w14:textId="77777777" w:rsidR="009B6086" w:rsidRPr="005F7EB1" w:rsidRDefault="009B6086" w:rsidP="00726B2B">
            <w:pPr>
              <w:pStyle w:val="ListParagraph"/>
              <w:ind w:left="0"/>
              <w:rPr>
                <w:b/>
                <w:bCs/>
                <w:sz w:val="18"/>
                <w:szCs w:val="18"/>
              </w:rPr>
            </w:pPr>
            <w:r w:rsidRPr="005F7EB1">
              <w:rPr>
                <w:b/>
                <w:bCs/>
                <w:sz w:val="18"/>
                <w:szCs w:val="18"/>
              </w:rPr>
              <w:t>Mean</w:t>
            </w:r>
          </w:p>
        </w:tc>
        <w:tc>
          <w:tcPr>
            <w:tcW w:w="1140" w:type="dxa"/>
            <w:tcBorders>
              <w:top w:val="single" w:sz="4" w:space="0" w:color="auto"/>
              <w:left w:val="nil"/>
              <w:bottom w:val="nil"/>
              <w:right w:val="nil"/>
            </w:tcBorders>
          </w:tcPr>
          <w:p w14:paraId="26D939A1" w14:textId="77777777" w:rsidR="009B6086" w:rsidRPr="005F7EB1" w:rsidRDefault="009B6086" w:rsidP="00726B2B">
            <w:pPr>
              <w:pStyle w:val="ListParagraph"/>
              <w:ind w:left="0"/>
              <w:rPr>
                <w:b/>
                <w:bCs/>
                <w:sz w:val="18"/>
                <w:szCs w:val="18"/>
              </w:rPr>
            </w:pPr>
            <w:r w:rsidRPr="005F7EB1">
              <w:rPr>
                <w:b/>
                <w:bCs/>
                <w:sz w:val="18"/>
                <w:szCs w:val="18"/>
              </w:rPr>
              <w:t>SD</w:t>
            </w:r>
          </w:p>
        </w:tc>
        <w:tc>
          <w:tcPr>
            <w:tcW w:w="1140" w:type="dxa"/>
            <w:tcBorders>
              <w:top w:val="single" w:sz="4" w:space="0" w:color="auto"/>
              <w:left w:val="nil"/>
              <w:bottom w:val="nil"/>
              <w:right w:val="nil"/>
            </w:tcBorders>
          </w:tcPr>
          <w:p w14:paraId="7684A2A9" w14:textId="77777777" w:rsidR="009B6086" w:rsidRPr="005F7EB1" w:rsidRDefault="009B6086" w:rsidP="00726B2B">
            <w:pPr>
              <w:pStyle w:val="ListParagraph"/>
              <w:ind w:left="0"/>
              <w:rPr>
                <w:b/>
                <w:bCs/>
                <w:sz w:val="18"/>
                <w:szCs w:val="18"/>
              </w:rPr>
            </w:pPr>
            <w:r w:rsidRPr="005F7EB1">
              <w:rPr>
                <w:b/>
                <w:bCs/>
                <w:sz w:val="18"/>
                <w:szCs w:val="18"/>
              </w:rPr>
              <w:t>MD (SD)</w:t>
            </w:r>
          </w:p>
        </w:tc>
        <w:tc>
          <w:tcPr>
            <w:tcW w:w="2460" w:type="dxa"/>
            <w:gridSpan w:val="2"/>
            <w:tcBorders>
              <w:top w:val="single" w:sz="4" w:space="0" w:color="auto"/>
              <w:left w:val="nil"/>
              <w:bottom w:val="nil"/>
              <w:right w:val="nil"/>
            </w:tcBorders>
          </w:tcPr>
          <w:p w14:paraId="5961310B" w14:textId="77777777" w:rsidR="009B6086" w:rsidRPr="005F7EB1" w:rsidRDefault="009B6086" w:rsidP="00726B2B">
            <w:pPr>
              <w:pStyle w:val="ListParagraph"/>
              <w:ind w:left="0"/>
              <w:rPr>
                <w:b/>
                <w:bCs/>
                <w:i/>
                <w:sz w:val="18"/>
                <w:szCs w:val="18"/>
              </w:rPr>
            </w:pPr>
            <w:r w:rsidRPr="005F7EB1">
              <w:rPr>
                <w:b/>
                <w:bCs/>
                <w:iCs/>
                <w:sz w:val="18"/>
                <w:szCs w:val="18"/>
              </w:rPr>
              <w:t>95% confidence interval of the mean difference</w:t>
            </w:r>
          </w:p>
        </w:tc>
        <w:tc>
          <w:tcPr>
            <w:tcW w:w="1140" w:type="dxa"/>
            <w:tcBorders>
              <w:top w:val="single" w:sz="4" w:space="0" w:color="auto"/>
              <w:left w:val="nil"/>
              <w:bottom w:val="nil"/>
              <w:right w:val="nil"/>
            </w:tcBorders>
          </w:tcPr>
          <w:p w14:paraId="00A35262" w14:textId="77777777" w:rsidR="009B6086" w:rsidRPr="005F7EB1" w:rsidRDefault="009B6086" w:rsidP="00726B2B">
            <w:pPr>
              <w:pStyle w:val="ListParagraph"/>
              <w:ind w:left="0"/>
              <w:jc w:val="center"/>
              <w:rPr>
                <w:b/>
                <w:bCs/>
                <w:sz w:val="18"/>
                <w:szCs w:val="18"/>
              </w:rPr>
            </w:pPr>
            <w:r w:rsidRPr="005F7EB1">
              <w:rPr>
                <w:b/>
                <w:bCs/>
                <w:i/>
                <w:sz w:val="18"/>
                <w:szCs w:val="18"/>
              </w:rPr>
              <w:t>t</w:t>
            </w:r>
            <w:r w:rsidRPr="005F7EB1">
              <w:rPr>
                <w:b/>
                <w:bCs/>
                <w:sz w:val="18"/>
                <w:szCs w:val="18"/>
              </w:rPr>
              <w:t>-value</w:t>
            </w:r>
          </w:p>
        </w:tc>
        <w:tc>
          <w:tcPr>
            <w:tcW w:w="1140" w:type="dxa"/>
            <w:tcBorders>
              <w:top w:val="single" w:sz="4" w:space="0" w:color="auto"/>
              <w:left w:val="nil"/>
              <w:bottom w:val="nil"/>
              <w:right w:val="nil"/>
            </w:tcBorders>
          </w:tcPr>
          <w:p w14:paraId="149C35D9" w14:textId="77777777" w:rsidR="009B6086" w:rsidRPr="005F7EB1" w:rsidRDefault="009B6086" w:rsidP="00726B2B">
            <w:pPr>
              <w:pStyle w:val="ListParagraph"/>
              <w:ind w:left="0"/>
              <w:jc w:val="center"/>
              <w:rPr>
                <w:b/>
                <w:bCs/>
                <w:sz w:val="18"/>
                <w:szCs w:val="18"/>
              </w:rPr>
            </w:pPr>
            <w:r w:rsidRPr="005F7EB1">
              <w:rPr>
                <w:b/>
                <w:bCs/>
                <w:i/>
                <w:sz w:val="18"/>
                <w:szCs w:val="18"/>
              </w:rPr>
              <w:t>p</w:t>
            </w:r>
            <w:r w:rsidRPr="005F7EB1">
              <w:rPr>
                <w:b/>
                <w:bCs/>
                <w:sz w:val="18"/>
                <w:szCs w:val="18"/>
              </w:rPr>
              <w:t>-value</w:t>
            </w:r>
          </w:p>
        </w:tc>
      </w:tr>
      <w:tr w:rsidR="005F7EB1" w:rsidRPr="005F7EB1" w14:paraId="5B4A029E" w14:textId="77777777" w:rsidTr="005F7EB1">
        <w:trPr>
          <w:jc w:val="center"/>
        </w:trPr>
        <w:tc>
          <w:tcPr>
            <w:tcW w:w="1140" w:type="dxa"/>
            <w:tcBorders>
              <w:top w:val="nil"/>
              <w:left w:val="nil"/>
              <w:bottom w:val="single" w:sz="4" w:space="0" w:color="auto"/>
              <w:right w:val="nil"/>
            </w:tcBorders>
          </w:tcPr>
          <w:p w14:paraId="5B87A0D3" w14:textId="77777777" w:rsidR="009B6086" w:rsidRPr="005F7EB1" w:rsidRDefault="009B6086" w:rsidP="00726B2B">
            <w:pPr>
              <w:pStyle w:val="ListParagraph"/>
              <w:ind w:left="0"/>
              <w:rPr>
                <w:b/>
                <w:bCs/>
                <w:sz w:val="18"/>
                <w:szCs w:val="18"/>
              </w:rPr>
            </w:pPr>
          </w:p>
        </w:tc>
        <w:tc>
          <w:tcPr>
            <w:tcW w:w="1140" w:type="dxa"/>
            <w:tcBorders>
              <w:top w:val="nil"/>
              <w:left w:val="nil"/>
              <w:bottom w:val="single" w:sz="4" w:space="0" w:color="auto"/>
              <w:right w:val="nil"/>
            </w:tcBorders>
          </w:tcPr>
          <w:p w14:paraId="7D31A47A" w14:textId="77777777" w:rsidR="009B6086" w:rsidRPr="005F7EB1" w:rsidRDefault="009B6086" w:rsidP="00726B2B">
            <w:pPr>
              <w:pStyle w:val="ListParagraph"/>
              <w:ind w:left="0"/>
              <w:rPr>
                <w:b/>
                <w:bCs/>
                <w:sz w:val="18"/>
                <w:szCs w:val="18"/>
              </w:rPr>
            </w:pPr>
          </w:p>
        </w:tc>
        <w:tc>
          <w:tcPr>
            <w:tcW w:w="1140" w:type="dxa"/>
            <w:tcBorders>
              <w:top w:val="nil"/>
              <w:left w:val="nil"/>
              <w:bottom w:val="single" w:sz="4" w:space="0" w:color="auto"/>
              <w:right w:val="nil"/>
            </w:tcBorders>
          </w:tcPr>
          <w:p w14:paraId="747FD6C0" w14:textId="77777777" w:rsidR="009B6086" w:rsidRPr="005F7EB1" w:rsidRDefault="009B6086" w:rsidP="00726B2B">
            <w:pPr>
              <w:pStyle w:val="ListParagraph"/>
              <w:ind w:left="0"/>
              <w:rPr>
                <w:b/>
                <w:bCs/>
                <w:sz w:val="18"/>
                <w:szCs w:val="18"/>
              </w:rPr>
            </w:pPr>
          </w:p>
        </w:tc>
        <w:tc>
          <w:tcPr>
            <w:tcW w:w="1140" w:type="dxa"/>
            <w:tcBorders>
              <w:top w:val="nil"/>
              <w:left w:val="nil"/>
              <w:bottom w:val="single" w:sz="4" w:space="0" w:color="auto"/>
              <w:right w:val="nil"/>
            </w:tcBorders>
          </w:tcPr>
          <w:p w14:paraId="675E7C75" w14:textId="77777777" w:rsidR="009B6086" w:rsidRPr="005F7EB1" w:rsidRDefault="009B6086" w:rsidP="00726B2B">
            <w:pPr>
              <w:pStyle w:val="ListParagraph"/>
              <w:ind w:left="0"/>
              <w:rPr>
                <w:b/>
                <w:bCs/>
                <w:sz w:val="18"/>
                <w:szCs w:val="18"/>
              </w:rPr>
            </w:pPr>
          </w:p>
        </w:tc>
        <w:tc>
          <w:tcPr>
            <w:tcW w:w="1140" w:type="dxa"/>
            <w:tcBorders>
              <w:top w:val="single" w:sz="4" w:space="0" w:color="auto"/>
              <w:left w:val="nil"/>
              <w:bottom w:val="single" w:sz="4" w:space="0" w:color="auto"/>
              <w:right w:val="nil"/>
            </w:tcBorders>
          </w:tcPr>
          <w:p w14:paraId="2ED98652" w14:textId="77777777" w:rsidR="009B6086" w:rsidRPr="005F7EB1" w:rsidRDefault="009B6086" w:rsidP="00726B2B">
            <w:pPr>
              <w:pStyle w:val="ListParagraph"/>
              <w:ind w:left="0"/>
              <w:jc w:val="center"/>
              <w:rPr>
                <w:b/>
                <w:bCs/>
                <w:iCs/>
                <w:sz w:val="18"/>
                <w:szCs w:val="18"/>
              </w:rPr>
            </w:pPr>
            <w:r w:rsidRPr="005F7EB1">
              <w:rPr>
                <w:b/>
                <w:bCs/>
                <w:iCs/>
                <w:sz w:val="18"/>
                <w:szCs w:val="18"/>
              </w:rPr>
              <w:t>Lower</w:t>
            </w:r>
          </w:p>
        </w:tc>
        <w:tc>
          <w:tcPr>
            <w:tcW w:w="1320" w:type="dxa"/>
            <w:tcBorders>
              <w:top w:val="single" w:sz="4" w:space="0" w:color="auto"/>
              <w:left w:val="nil"/>
              <w:bottom w:val="single" w:sz="4" w:space="0" w:color="auto"/>
              <w:right w:val="nil"/>
            </w:tcBorders>
          </w:tcPr>
          <w:p w14:paraId="6A02CE41" w14:textId="77777777" w:rsidR="009B6086" w:rsidRPr="005F7EB1" w:rsidRDefault="009B6086" w:rsidP="00726B2B">
            <w:pPr>
              <w:pStyle w:val="ListParagraph"/>
              <w:ind w:left="0"/>
              <w:jc w:val="center"/>
              <w:rPr>
                <w:b/>
                <w:bCs/>
                <w:iCs/>
                <w:sz w:val="18"/>
                <w:szCs w:val="18"/>
              </w:rPr>
            </w:pPr>
            <w:r w:rsidRPr="005F7EB1">
              <w:rPr>
                <w:b/>
                <w:bCs/>
                <w:iCs/>
                <w:sz w:val="18"/>
                <w:szCs w:val="18"/>
              </w:rPr>
              <w:t>Upper</w:t>
            </w:r>
          </w:p>
        </w:tc>
        <w:tc>
          <w:tcPr>
            <w:tcW w:w="1140" w:type="dxa"/>
            <w:tcBorders>
              <w:top w:val="nil"/>
              <w:left w:val="nil"/>
              <w:bottom w:val="single" w:sz="4" w:space="0" w:color="auto"/>
              <w:right w:val="nil"/>
            </w:tcBorders>
          </w:tcPr>
          <w:p w14:paraId="08AF84FC" w14:textId="77777777" w:rsidR="009B6086" w:rsidRPr="005F7EB1" w:rsidRDefault="009B6086" w:rsidP="00726B2B">
            <w:pPr>
              <w:pStyle w:val="ListParagraph"/>
              <w:ind w:left="0"/>
              <w:rPr>
                <w:b/>
                <w:bCs/>
                <w:i/>
                <w:sz w:val="18"/>
                <w:szCs w:val="18"/>
              </w:rPr>
            </w:pPr>
          </w:p>
        </w:tc>
        <w:tc>
          <w:tcPr>
            <w:tcW w:w="1140" w:type="dxa"/>
            <w:tcBorders>
              <w:top w:val="nil"/>
              <w:left w:val="nil"/>
              <w:bottom w:val="single" w:sz="4" w:space="0" w:color="auto"/>
              <w:right w:val="nil"/>
            </w:tcBorders>
          </w:tcPr>
          <w:p w14:paraId="508D6434" w14:textId="77777777" w:rsidR="009B6086" w:rsidRPr="005F7EB1" w:rsidRDefault="009B6086" w:rsidP="00726B2B">
            <w:pPr>
              <w:pStyle w:val="ListParagraph"/>
              <w:ind w:left="0"/>
              <w:rPr>
                <w:b/>
                <w:bCs/>
                <w:i/>
                <w:sz w:val="18"/>
                <w:szCs w:val="18"/>
              </w:rPr>
            </w:pPr>
          </w:p>
        </w:tc>
      </w:tr>
      <w:tr w:rsidR="005F7EB1" w:rsidRPr="005F7EB1" w14:paraId="1795B580" w14:textId="77777777" w:rsidTr="005F7EB1">
        <w:trPr>
          <w:jc w:val="center"/>
        </w:trPr>
        <w:tc>
          <w:tcPr>
            <w:tcW w:w="1140" w:type="dxa"/>
            <w:tcBorders>
              <w:left w:val="nil"/>
              <w:bottom w:val="nil"/>
              <w:right w:val="nil"/>
            </w:tcBorders>
          </w:tcPr>
          <w:p w14:paraId="365E8044" w14:textId="327436EC" w:rsidR="009B6086" w:rsidRPr="005F7EB1" w:rsidRDefault="009B6086" w:rsidP="00726B2B">
            <w:pPr>
              <w:pStyle w:val="ListParagraph"/>
              <w:ind w:left="0"/>
              <w:rPr>
                <w:sz w:val="20"/>
              </w:rPr>
            </w:pPr>
            <w:r w:rsidRPr="005F7EB1">
              <w:rPr>
                <w:sz w:val="20"/>
              </w:rPr>
              <w:t>Female</w:t>
            </w:r>
          </w:p>
        </w:tc>
        <w:tc>
          <w:tcPr>
            <w:tcW w:w="1140" w:type="dxa"/>
            <w:tcBorders>
              <w:left w:val="nil"/>
              <w:bottom w:val="nil"/>
              <w:right w:val="nil"/>
            </w:tcBorders>
          </w:tcPr>
          <w:p w14:paraId="626B8A04" w14:textId="233559BA" w:rsidR="009B6086" w:rsidRPr="005F7EB1" w:rsidRDefault="009B6086" w:rsidP="00726B2B">
            <w:pPr>
              <w:pStyle w:val="ListParagraph"/>
              <w:ind w:left="0"/>
              <w:rPr>
                <w:sz w:val="20"/>
              </w:rPr>
            </w:pPr>
            <w:r w:rsidRPr="005F7EB1">
              <w:rPr>
                <w:sz w:val="20"/>
              </w:rPr>
              <w:t>4.0800</w:t>
            </w:r>
          </w:p>
        </w:tc>
        <w:tc>
          <w:tcPr>
            <w:tcW w:w="1140" w:type="dxa"/>
            <w:tcBorders>
              <w:left w:val="nil"/>
              <w:bottom w:val="nil"/>
              <w:right w:val="nil"/>
            </w:tcBorders>
          </w:tcPr>
          <w:p w14:paraId="529AA913" w14:textId="685CAFFD" w:rsidR="009B6086" w:rsidRPr="005F7EB1" w:rsidRDefault="009B6086" w:rsidP="00726B2B">
            <w:pPr>
              <w:pStyle w:val="ListParagraph"/>
              <w:ind w:left="0"/>
              <w:rPr>
                <w:sz w:val="20"/>
              </w:rPr>
            </w:pPr>
            <w:r w:rsidRPr="005F7EB1">
              <w:rPr>
                <w:sz w:val="20"/>
              </w:rPr>
              <w:t>.1767</w:t>
            </w:r>
          </w:p>
        </w:tc>
        <w:tc>
          <w:tcPr>
            <w:tcW w:w="1140" w:type="dxa"/>
            <w:tcBorders>
              <w:left w:val="nil"/>
              <w:bottom w:val="nil"/>
              <w:right w:val="nil"/>
            </w:tcBorders>
          </w:tcPr>
          <w:p w14:paraId="12550DC7" w14:textId="6192051B" w:rsidR="009B6086" w:rsidRPr="005F7EB1" w:rsidRDefault="009B6086" w:rsidP="00726B2B">
            <w:pPr>
              <w:pStyle w:val="ListParagraph"/>
              <w:ind w:left="0"/>
              <w:rPr>
                <w:sz w:val="20"/>
              </w:rPr>
            </w:pPr>
            <w:r w:rsidRPr="005F7EB1">
              <w:rPr>
                <w:sz w:val="20"/>
              </w:rPr>
              <w:t xml:space="preserve"> -.1125</w:t>
            </w:r>
          </w:p>
        </w:tc>
        <w:tc>
          <w:tcPr>
            <w:tcW w:w="1140" w:type="dxa"/>
            <w:tcBorders>
              <w:left w:val="nil"/>
              <w:bottom w:val="nil"/>
              <w:right w:val="nil"/>
            </w:tcBorders>
          </w:tcPr>
          <w:p w14:paraId="63FE56E5" w14:textId="22F6DC7B" w:rsidR="009B6086" w:rsidRPr="005F7EB1" w:rsidRDefault="009B6086" w:rsidP="00726B2B">
            <w:pPr>
              <w:pStyle w:val="ListParagraph"/>
              <w:ind w:left="0"/>
              <w:jc w:val="center"/>
              <w:rPr>
                <w:sz w:val="20"/>
              </w:rPr>
            </w:pPr>
            <w:r w:rsidRPr="005F7EB1">
              <w:rPr>
                <w:sz w:val="20"/>
              </w:rPr>
              <w:t>-.4785</w:t>
            </w:r>
          </w:p>
        </w:tc>
        <w:tc>
          <w:tcPr>
            <w:tcW w:w="1320" w:type="dxa"/>
            <w:tcBorders>
              <w:left w:val="nil"/>
              <w:bottom w:val="nil"/>
              <w:right w:val="nil"/>
            </w:tcBorders>
          </w:tcPr>
          <w:p w14:paraId="2F587399" w14:textId="30A2E50F" w:rsidR="009B6086" w:rsidRPr="005F7EB1" w:rsidRDefault="009B6086" w:rsidP="00726B2B">
            <w:pPr>
              <w:pStyle w:val="ListParagraph"/>
              <w:ind w:left="0"/>
              <w:jc w:val="center"/>
              <w:rPr>
                <w:sz w:val="20"/>
              </w:rPr>
            </w:pPr>
            <w:r w:rsidRPr="005F7EB1">
              <w:rPr>
                <w:sz w:val="20"/>
              </w:rPr>
              <w:t>.2535</w:t>
            </w:r>
          </w:p>
        </w:tc>
        <w:tc>
          <w:tcPr>
            <w:tcW w:w="1140" w:type="dxa"/>
            <w:tcBorders>
              <w:left w:val="nil"/>
              <w:bottom w:val="nil"/>
              <w:right w:val="nil"/>
            </w:tcBorders>
          </w:tcPr>
          <w:p w14:paraId="6F577757" w14:textId="0434FABC" w:rsidR="009B6086" w:rsidRPr="005F7EB1" w:rsidRDefault="009B6086" w:rsidP="00726B2B">
            <w:pPr>
              <w:pStyle w:val="ListParagraph"/>
              <w:ind w:left="0"/>
              <w:jc w:val="center"/>
              <w:rPr>
                <w:sz w:val="20"/>
              </w:rPr>
            </w:pPr>
            <w:r w:rsidRPr="005F7EB1">
              <w:rPr>
                <w:sz w:val="20"/>
              </w:rPr>
              <w:t>-.630</w:t>
            </w:r>
          </w:p>
        </w:tc>
        <w:tc>
          <w:tcPr>
            <w:tcW w:w="1140" w:type="dxa"/>
            <w:tcBorders>
              <w:left w:val="nil"/>
              <w:bottom w:val="nil"/>
              <w:right w:val="nil"/>
            </w:tcBorders>
          </w:tcPr>
          <w:p w14:paraId="098A3EBE" w14:textId="5FABDF1C" w:rsidR="009B6086" w:rsidRPr="005F7EB1" w:rsidRDefault="009B6086" w:rsidP="00726B2B">
            <w:pPr>
              <w:pStyle w:val="ListParagraph"/>
              <w:ind w:left="0"/>
              <w:jc w:val="center"/>
              <w:rPr>
                <w:sz w:val="20"/>
              </w:rPr>
            </w:pPr>
            <w:r w:rsidRPr="005F7EB1">
              <w:rPr>
                <w:sz w:val="20"/>
              </w:rPr>
              <w:t>.534</w:t>
            </w:r>
          </w:p>
        </w:tc>
      </w:tr>
      <w:tr w:rsidR="009B6086" w:rsidRPr="005F7EB1" w14:paraId="3D81C987" w14:textId="77777777" w:rsidTr="005F7EB1">
        <w:trPr>
          <w:jc w:val="center"/>
        </w:trPr>
        <w:tc>
          <w:tcPr>
            <w:tcW w:w="1140" w:type="dxa"/>
            <w:tcBorders>
              <w:top w:val="nil"/>
              <w:left w:val="nil"/>
              <w:right w:val="nil"/>
            </w:tcBorders>
          </w:tcPr>
          <w:p w14:paraId="47A6BF00" w14:textId="59BE48DE" w:rsidR="009B6086" w:rsidRPr="005F7EB1" w:rsidRDefault="009B6086" w:rsidP="00726B2B">
            <w:pPr>
              <w:pStyle w:val="ListParagraph"/>
              <w:ind w:left="0"/>
              <w:rPr>
                <w:sz w:val="20"/>
              </w:rPr>
            </w:pPr>
            <w:r w:rsidRPr="005F7EB1">
              <w:rPr>
                <w:sz w:val="20"/>
              </w:rPr>
              <w:t>Male</w:t>
            </w:r>
          </w:p>
        </w:tc>
        <w:tc>
          <w:tcPr>
            <w:tcW w:w="1140" w:type="dxa"/>
            <w:tcBorders>
              <w:top w:val="nil"/>
              <w:left w:val="nil"/>
              <w:right w:val="nil"/>
            </w:tcBorders>
          </w:tcPr>
          <w:p w14:paraId="62FA4036" w14:textId="0B39C9FB" w:rsidR="009B6086" w:rsidRPr="005F7EB1" w:rsidRDefault="009B6086" w:rsidP="00726B2B">
            <w:pPr>
              <w:pStyle w:val="ListParagraph"/>
              <w:ind w:left="0"/>
              <w:rPr>
                <w:sz w:val="20"/>
              </w:rPr>
            </w:pPr>
            <w:r w:rsidRPr="005F7EB1">
              <w:rPr>
                <w:sz w:val="20"/>
              </w:rPr>
              <w:t>4.1925</w:t>
            </w:r>
          </w:p>
        </w:tc>
        <w:tc>
          <w:tcPr>
            <w:tcW w:w="1140" w:type="dxa"/>
            <w:tcBorders>
              <w:top w:val="nil"/>
              <w:left w:val="nil"/>
              <w:right w:val="nil"/>
            </w:tcBorders>
          </w:tcPr>
          <w:p w14:paraId="357E2FF5" w14:textId="46D85A58" w:rsidR="009B6086" w:rsidRPr="005F7EB1" w:rsidRDefault="009B6086" w:rsidP="00726B2B">
            <w:pPr>
              <w:pStyle w:val="ListParagraph"/>
              <w:ind w:left="0"/>
              <w:rPr>
                <w:sz w:val="20"/>
              </w:rPr>
            </w:pPr>
            <w:r w:rsidRPr="005F7EB1">
              <w:rPr>
                <w:sz w:val="20"/>
              </w:rPr>
              <w:t>.2919</w:t>
            </w:r>
          </w:p>
        </w:tc>
        <w:tc>
          <w:tcPr>
            <w:tcW w:w="1140" w:type="dxa"/>
            <w:tcBorders>
              <w:top w:val="nil"/>
              <w:left w:val="nil"/>
              <w:right w:val="nil"/>
            </w:tcBorders>
          </w:tcPr>
          <w:p w14:paraId="4502A9C3" w14:textId="5FA284E1" w:rsidR="009B6086" w:rsidRPr="005F7EB1" w:rsidRDefault="009B6086" w:rsidP="00726B2B">
            <w:pPr>
              <w:pStyle w:val="ListParagraph"/>
              <w:ind w:left="0"/>
              <w:rPr>
                <w:sz w:val="20"/>
              </w:rPr>
            </w:pPr>
            <w:r w:rsidRPr="005F7EB1">
              <w:rPr>
                <w:sz w:val="20"/>
              </w:rPr>
              <w:t>(.1787)</w:t>
            </w:r>
          </w:p>
        </w:tc>
        <w:tc>
          <w:tcPr>
            <w:tcW w:w="1140" w:type="dxa"/>
            <w:tcBorders>
              <w:top w:val="nil"/>
              <w:left w:val="nil"/>
              <w:right w:val="nil"/>
            </w:tcBorders>
          </w:tcPr>
          <w:p w14:paraId="12377CED" w14:textId="77777777" w:rsidR="009B6086" w:rsidRPr="005F7EB1" w:rsidRDefault="009B6086" w:rsidP="00726B2B">
            <w:pPr>
              <w:pStyle w:val="ListParagraph"/>
              <w:ind w:left="0"/>
              <w:rPr>
                <w:sz w:val="20"/>
              </w:rPr>
            </w:pPr>
          </w:p>
        </w:tc>
        <w:tc>
          <w:tcPr>
            <w:tcW w:w="1320" w:type="dxa"/>
            <w:tcBorders>
              <w:top w:val="nil"/>
              <w:left w:val="nil"/>
              <w:right w:val="nil"/>
            </w:tcBorders>
          </w:tcPr>
          <w:p w14:paraId="75C056D4" w14:textId="77777777" w:rsidR="009B6086" w:rsidRPr="005F7EB1" w:rsidRDefault="009B6086" w:rsidP="00726B2B">
            <w:pPr>
              <w:pStyle w:val="ListParagraph"/>
              <w:ind w:left="0"/>
              <w:rPr>
                <w:sz w:val="20"/>
              </w:rPr>
            </w:pPr>
          </w:p>
        </w:tc>
        <w:tc>
          <w:tcPr>
            <w:tcW w:w="1140" w:type="dxa"/>
            <w:tcBorders>
              <w:top w:val="nil"/>
              <w:left w:val="nil"/>
              <w:right w:val="nil"/>
            </w:tcBorders>
          </w:tcPr>
          <w:p w14:paraId="6ECFEED6" w14:textId="77777777" w:rsidR="009B6086" w:rsidRPr="005F7EB1" w:rsidRDefault="009B6086" w:rsidP="00726B2B">
            <w:pPr>
              <w:pStyle w:val="ListParagraph"/>
              <w:ind w:left="0"/>
              <w:rPr>
                <w:sz w:val="20"/>
              </w:rPr>
            </w:pPr>
          </w:p>
        </w:tc>
        <w:tc>
          <w:tcPr>
            <w:tcW w:w="1140" w:type="dxa"/>
            <w:tcBorders>
              <w:top w:val="nil"/>
              <w:left w:val="nil"/>
              <w:right w:val="nil"/>
            </w:tcBorders>
          </w:tcPr>
          <w:p w14:paraId="3A0A7045" w14:textId="77777777" w:rsidR="009B6086" w:rsidRPr="005F7EB1" w:rsidRDefault="009B6086" w:rsidP="00726B2B">
            <w:pPr>
              <w:pStyle w:val="ListParagraph"/>
              <w:ind w:left="0"/>
              <w:rPr>
                <w:sz w:val="20"/>
              </w:rPr>
            </w:pPr>
          </w:p>
        </w:tc>
      </w:tr>
    </w:tbl>
    <w:p w14:paraId="44986017" w14:textId="77777777" w:rsidR="009B6086" w:rsidRDefault="009B6086" w:rsidP="00726B2B">
      <w:pPr>
        <w:pStyle w:val="Paragraph"/>
        <w:ind w:firstLine="0"/>
        <w:contextualSpacing/>
      </w:pPr>
    </w:p>
    <w:p w14:paraId="53D00345" w14:textId="44289C57" w:rsidR="00D6269C" w:rsidRDefault="00922F4B" w:rsidP="00E25659">
      <w:pPr>
        <w:pStyle w:val="Paragraph"/>
        <w:ind w:firstLine="288"/>
        <w:contextualSpacing/>
        <w:rPr>
          <w:lang w:eastAsia="zh-CN"/>
        </w:rPr>
      </w:pPr>
      <w:r>
        <w:t xml:space="preserve">The </w:t>
      </w:r>
      <w:r w:rsidRPr="00922F4B">
        <w:rPr>
          <w:i/>
          <w:iCs/>
        </w:rPr>
        <w:t>p</w:t>
      </w:r>
      <w:r>
        <w:t>-v</w:t>
      </w:r>
      <w:r w:rsidR="004E0A2D" w:rsidRPr="004E0A2D">
        <w:t xml:space="preserve">alue </w:t>
      </w:r>
      <w:r>
        <w:t>of .534 is</w:t>
      </w:r>
      <w:r w:rsidR="004E0A2D" w:rsidRPr="004E0A2D">
        <w:t xml:space="preserve"> greater than</w:t>
      </w:r>
      <w:r w:rsidR="004E0A2D">
        <w:rPr>
          <w:rFonts w:hint="eastAsia"/>
          <w:lang w:eastAsia="zh-CN"/>
        </w:rPr>
        <w:t xml:space="preserve"> the significance level</w:t>
      </w:r>
      <w:r w:rsidR="004E0A2D" w:rsidRPr="004E0A2D">
        <w:t xml:space="preserve">. </w:t>
      </w:r>
      <w:r w:rsidR="007B2220">
        <w:rPr>
          <w:lang w:eastAsia="zh-CN"/>
        </w:rPr>
        <w:t xml:space="preserve">This </w:t>
      </w:r>
      <w:r w:rsidR="007B2220" w:rsidRPr="004E0A2D">
        <w:t>means</w:t>
      </w:r>
      <w:r w:rsidR="004E0A2D" w:rsidRPr="004E0A2D">
        <w:t xml:space="preserve"> we </w:t>
      </w:r>
      <w:r w:rsidR="004E0A2D" w:rsidRPr="00D6269C">
        <w:t>fail</w:t>
      </w:r>
      <w:r w:rsidR="004E0A2D" w:rsidRPr="004E0A2D">
        <w:t xml:space="preserve"> to reject the null hypothesis, indicating that there are no significant differences in students' perceptions based on </w:t>
      </w:r>
      <w:r w:rsidR="00970E9C" w:rsidRPr="004E0A2D">
        <w:t>gender</w:t>
      </w:r>
      <w:r w:rsidR="00611FDF">
        <w:rPr>
          <w:rFonts w:hint="eastAsia"/>
          <w:lang w:eastAsia="zh-CN"/>
        </w:rPr>
        <w:t>.</w:t>
      </w:r>
    </w:p>
    <w:p w14:paraId="351FB9DE" w14:textId="65027E0F" w:rsidR="009B6086" w:rsidRPr="00D6269C" w:rsidRDefault="00012CDC" w:rsidP="00E25659">
      <w:pPr>
        <w:pStyle w:val="Paragraph"/>
        <w:ind w:firstLine="288"/>
        <w:contextualSpacing/>
      </w:pPr>
      <w:r w:rsidRPr="00D6269C">
        <w:t xml:space="preserve">The </w:t>
      </w:r>
      <w:r w:rsidR="00726485" w:rsidRPr="00D6269C">
        <w:t xml:space="preserve">Cohen’s d is -.2304 </w:t>
      </w:r>
      <w:r w:rsidRPr="00D6269C">
        <w:t xml:space="preserve">indicates </w:t>
      </w:r>
      <w:r w:rsidR="00676B8F" w:rsidRPr="00D6269C">
        <w:t xml:space="preserve">the </w:t>
      </w:r>
      <w:r w:rsidRPr="00D6269C">
        <w:t>effect size</w:t>
      </w:r>
      <w:r w:rsidR="00676B8F" w:rsidRPr="00D6269C">
        <w:t xml:space="preserve"> is small</w:t>
      </w:r>
      <w:r w:rsidRPr="00D6269C">
        <w:t>.</w:t>
      </w:r>
    </w:p>
    <w:p w14:paraId="76EA8D6C" w14:textId="2760014B" w:rsidR="00D6269C" w:rsidRPr="00D6269C" w:rsidRDefault="007B2220" w:rsidP="00E25659">
      <w:pPr>
        <w:pStyle w:val="Paragraph"/>
        <w:ind w:firstLine="288"/>
        <w:contextualSpacing/>
      </w:pPr>
      <w:r w:rsidRPr="00D6269C">
        <w:rPr>
          <w:rFonts w:hint="eastAsia"/>
        </w:rPr>
        <w:t>Next, the</w:t>
      </w:r>
      <w:r w:rsidRPr="00D6269C">
        <w:t xml:space="preserve"> ANOVA test was conducted to </w:t>
      </w:r>
      <w:r w:rsidR="007325F0" w:rsidRPr="00D6269C">
        <w:t>discover</w:t>
      </w:r>
      <w:r w:rsidRPr="00D6269C">
        <w:t xml:space="preserve"> if there are significant differences in students' perceptions of using </w:t>
      </w:r>
      <w:r w:rsidR="007325F0" w:rsidRPr="00D6269C">
        <w:t>CA</w:t>
      </w:r>
      <w:r w:rsidRPr="00D6269C">
        <w:t xml:space="preserve"> in mathematics learning based on </w:t>
      </w:r>
      <w:r w:rsidRPr="00D6269C">
        <w:rPr>
          <w:rFonts w:hint="eastAsia"/>
        </w:rPr>
        <w:t>student</w:t>
      </w:r>
      <w:r w:rsidRPr="00D6269C">
        <w:t>’</w:t>
      </w:r>
      <w:r w:rsidR="00747B8E" w:rsidRPr="00D6269C">
        <w:rPr>
          <w:rFonts w:hint="eastAsia"/>
        </w:rPr>
        <w:t>s</w:t>
      </w:r>
      <w:r w:rsidRPr="00D6269C">
        <w:rPr>
          <w:rFonts w:hint="eastAsia"/>
        </w:rPr>
        <w:t xml:space="preserve"> performance level</w:t>
      </w:r>
      <w:r w:rsidRPr="00D6269C">
        <w:t xml:space="preserve">. </w:t>
      </w:r>
      <w:r w:rsidRPr="00D6269C">
        <w:rPr>
          <w:rFonts w:hint="eastAsia"/>
        </w:rPr>
        <w:t>T</w:t>
      </w:r>
      <w:r w:rsidRPr="00D6269C">
        <w:t>he null hypothesis (H</w:t>
      </w:r>
      <w:r w:rsidRPr="00D6269C">
        <w:rPr>
          <w:rFonts w:hint="eastAsia"/>
        </w:rPr>
        <w:t>2</w:t>
      </w:r>
      <w:r w:rsidRPr="00D6269C">
        <w:t>)</w:t>
      </w:r>
      <w:r w:rsidRPr="00D6269C">
        <w:rPr>
          <w:rFonts w:hint="eastAsia"/>
        </w:rPr>
        <w:t xml:space="preserve"> is</w:t>
      </w:r>
      <w:r w:rsidR="00D54EEB">
        <w:t xml:space="preserve"> as follows:</w:t>
      </w:r>
    </w:p>
    <w:p w14:paraId="046688DA" w14:textId="2BAAF817" w:rsidR="00D6269C" w:rsidRDefault="007B2220" w:rsidP="00E25659">
      <w:pPr>
        <w:pStyle w:val="Paragraph"/>
        <w:ind w:firstLine="288"/>
        <w:contextualSpacing/>
      </w:pPr>
      <w:r w:rsidRPr="00D6269C">
        <w:rPr>
          <w:rFonts w:hint="eastAsia"/>
        </w:rPr>
        <w:t xml:space="preserve">H2: </w:t>
      </w:r>
      <w:r w:rsidR="007325F0" w:rsidRPr="00D6269C">
        <w:t>N</w:t>
      </w:r>
      <w:r w:rsidRPr="00D6269C">
        <w:t>o significant differences in perception based on student’s performance level.</w:t>
      </w:r>
    </w:p>
    <w:p w14:paraId="66AF08AF" w14:textId="53483FA2" w:rsidR="00022638" w:rsidRDefault="007325F0" w:rsidP="00726B2B">
      <w:pPr>
        <w:pStyle w:val="Paragraph"/>
        <w:ind w:firstLine="288"/>
        <w:contextualSpacing/>
      </w:pPr>
      <w:r w:rsidRPr="00D6269C">
        <w:t xml:space="preserve">Table </w:t>
      </w:r>
      <w:r w:rsidR="00D6269C">
        <w:t>3</w:t>
      </w:r>
      <w:r w:rsidRPr="00D6269C">
        <w:t xml:space="preserve"> summarizes the ANOVA results.</w:t>
      </w:r>
    </w:p>
    <w:p w14:paraId="651869C8" w14:textId="77777777" w:rsidR="00E25659" w:rsidRDefault="00E25659" w:rsidP="00726B2B">
      <w:pPr>
        <w:pStyle w:val="Paragraph"/>
        <w:ind w:firstLine="288"/>
        <w:contextualSpacing/>
      </w:pPr>
    </w:p>
    <w:tbl>
      <w:tblPr>
        <w:tblW w:w="7729" w:type="dxa"/>
        <w:jc w:val="center"/>
        <w:tblBorders>
          <w:top w:val="single" w:sz="6" w:space="0" w:color="152935"/>
          <w:bottom w:val="single" w:sz="6" w:space="0" w:color="152935"/>
        </w:tblBorders>
        <w:tblLayout w:type="fixed"/>
        <w:tblCellMar>
          <w:left w:w="0" w:type="dxa"/>
          <w:right w:w="0" w:type="dxa"/>
        </w:tblCellMar>
        <w:tblLook w:val="0000" w:firstRow="0" w:lastRow="0" w:firstColumn="0" w:lastColumn="0" w:noHBand="0" w:noVBand="0"/>
      </w:tblPr>
      <w:tblGrid>
        <w:gridCol w:w="1716"/>
        <w:gridCol w:w="1485"/>
        <w:gridCol w:w="1035"/>
        <w:gridCol w:w="1423"/>
        <w:gridCol w:w="1035"/>
        <w:gridCol w:w="1035"/>
      </w:tblGrid>
      <w:tr w:rsidR="00D6269C" w:rsidRPr="00D6269C" w14:paraId="78BAC178" w14:textId="77777777" w:rsidTr="00D6269C">
        <w:trPr>
          <w:cantSplit/>
          <w:trHeight w:val="144"/>
          <w:jc w:val="center"/>
        </w:trPr>
        <w:tc>
          <w:tcPr>
            <w:tcW w:w="7729" w:type="dxa"/>
            <w:gridSpan w:val="6"/>
            <w:tcBorders>
              <w:top w:val="nil"/>
              <w:bottom w:val="single" w:sz="6" w:space="0" w:color="152935"/>
            </w:tcBorders>
          </w:tcPr>
          <w:p w14:paraId="4EE66B9A" w14:textId="038A7B4E" w:rsidR="00D6269C" w:rsidRPr="00D6269C" w:rsidRDefault="00D6269C" w:rsidP="00726B2B">
            <w:pPr>
              <w:spacing w:before="120"/>
              <w:contextualSpacing/>
              <w:jc w:val="center"/>
              <w:rPr>
                <w:b/>
                <w:bCs/>
                <w:sz w:val="18"/>
                <w:szCs w:val="18"/>
              </w:rPr>
            </w:pPr>
            <w:r w:rsidRPr="00D6269C">
              <w:rPr>
                <w:b/>
                <w:bCs/>
                <w:sz w:val="18"/>
                <w:szCs w:val="18"/>
              </w:rPr>
              <w:t>TABLE 3</w:t>
            </w:r>
            <w:r w:rsidR="00A816A7">
              <w:rPr>
                <w:sz w:val="18"/>
                <w:szCs w:val="18"/>
              </w:rPr>
              <w:t>.</w:t>
            </w:r>
            <w:r w:rsidRPr="00D6269C">
              <w:rPr>
                <w:sz w:val="18"/>
                <w:szCs w:val="18"/>
              </w:rPr>
              <w:t xml:space="preserve"> ANOVA based on </w:t>
            </w:r>
            <w:r w:rsidR="007F16EF">
              <w:rPr>
                <w:sz w:val="18"/>
                <w:szCs w:val="18"/>
              </w:rPr>
              <w:t>p</w:t>
            </w:r>
            <w:r w:rsidRPr="00D6269C">
              <w:rPr>
                <w:sz w:val="18"/>
                <w:szCs w:val="18"/>
              </w:rPr>
              <w:t xml:space="preserve">erformance </w:t>
            </w:r>
            <w:r w:rsidR="007F16EF">
              <w:rPr>
                <w:sz w:val="18"/>
                <w:szCs w:val="18"/>
              </w:rPr>
              <w:t>l</w:t>
            </w:r>
            <w:r w:rsidRPr="00D6269C">
              <w:rPr>
                <w:sz w:val="18"/>
                <w:szCs w:val="18"/>
              </w:rPr>
              <w:t>evel</w:t>
            </w:r>
          </w:p>
        </w:tc>
      </w:tr>
      <w:tr w:rsidR="00BE483E" w:rsidRPr="00D6269C" w14:paraId="43744D74" w14:textId="77777777" w:rsidTr="00D6269C">
        <w:trPr>
          <w:cantSplit/>
          <w:trHeight w:val="144"/>
          <w:jc w:val="center"/>
        </w:trPr>
        <w:tc>
          <w:tcPr>
            <w:tcW w:w="1716" w:type="dxa"/>
            <w:tcBorders>
              <w:top w:val="single" w:sz="6" w:space="0" w:color="152935"/>
              <w:bottom w:val="single" w:sz="6" w:space="0" w:color="152935"/>
            </w:tcBorders>
          </w:tcPr>
          <w:p w14:paraId="5D98C270" w14:textId="77777777" w:rsidR="00BE483E" w:rsidRPr="00D6269C" w:rsidRDefault="00BE483E" w:rsidP="00726B2B">
            <w:pPr>
              <w:ind w:left="60" w:right="60"/>
              <w:contextualSpacing/>
              <w:rPr>
                <w:b/>
                <w:bCs/>
                <w:sz w:val="18"/>
                <w:szCs w:val="18"/>
              </w:rPr>
            </w:pPr>
          </w:p>
        </w:tc>
        <w:tc>
          <w:tcPr>
            <w:tcW w:w="1485" w:type="dxa"/>
            <w:tcBorders>
              <w:top w:val="single" w:sz="6" w:space="0" w:color="152935"/>
              <w:bottom w:val="single" w:sz="6" w:space="0" w:color="152935"/>
            </w:tcBorders>
          </w:tcPr>
          <w:p w14:paraId="48681DA6" w14:textId="77777777" w:rsidR="00BE483E" w:rsidRPr="00D6269C" w:rsidRDefault="00BE483E" w:rsidP="00726B2B">
            <w:pPr>
              <w:ind w:left="60" w:right="60"/>
              <w:contextualSpacing/>
              <w:jc w:val="right"/>
              <w:rPr>
                <w:b/>
                <w:bCs/>
                <w:sz w:val="18"/>
                <w:szCs w:val="18"/>
              </w:rPr>
            </w:pPr>
            <w:r w:rsidRPr="00D6269C">
              <w:rPr>
                <w:b/>
                <w:bCs/>
                <w:sz w:val="18"/>
                <w:szCs w:val="18"/>
              </w:rPr>
              <w:t>Sum of Squares</w:t>
            </w:r>
          </w:p>
        </w:tc>
        <w:tc>
          <w:tcPr>
            <w:tcW w:w="1035" w:type="dxa"/>
            <w:tcBorders>
              <w:top w:val="single" w:sz="6" w:space="0" w:color="152935"/>
              <w:bottom w:val="single" w:sz="6" w:space="0" w:color="152935"/>
            </w:tcBorders>
          </w:tcPr>
          <w:p w14:paraId="5D4656C6" w14:textId="77777777" w:rsidR="00BE483E" w:rsidRPr="00D6269C" w:rsidRDefault="00BE483E" w:rsidP="00726B2B">
            <w:pPr>
              <w:ind w:left="60" w:right="60"/>
              <w:contextualSpacing/>
              <w:jc w:val="right"/>
              <w:rPr>
                <w:b/>
                <w:bCs/>
                <w:i/>
                <w:iCs/>
                <w:sz w:val="18"/>
                <w:szCs w:val="18"/>
              </w:rPr>
            </w:pPr>
            <w:r w:rsidRPr="00D6269C">
              <w:rPr>
                <w:b/>
                <w:bCs/>
                <w:i/>
                <w:iCs/>
                <w:sz w:val="18"/>
                <w:szCs w:val="18"/>
              </w:rPr>
              <w:t>df</w:t>
            </w:r>
          </w:p>
        </w:tc>
        <w:tc>
          <w:tcPr>
            <w:tcW w:w="1423" w:type="dxa"/>
            <w:tcBorders>
              <w:top w:val="single" w:sz="6" w:space="0" w:color="152935"/>
              <w:bottom w:val="single" w:sz="6" w:space="0" w:color="152935"/>
            </w:tcBorders>
          </w:tcPr>
          <w:p w14:paraId="6E7BD23A" w14:textId="77777777" w:rsidR="00BE483E" w:rsidRPr="00D6269C" w:rsidRDefault="00BE483E" w:rsidP="00726B2B">
            <w:pPr>
              <w:ind w:left="60" w:right="60"/>
              <w:contextualSpacing/>
              <w:jc w:val="right"/>
              <w:rPr>
                <w:b/>
                <w:bCs/>
                <w:sz w:val="18"/>
                <w:szCs w:val="18"/>
              </w:rPr>
            </w:pPr>
            <w:r w:rsidRPr="00D6269C">
              <w:rPr>
                <w:b/>
                <w:bCs/>
                <w:sz w:val="18"/>
                <w:szCs w:val="18"/>
              </w:rPr>
              <w:t>Mean Square</w:t>
            </w:r>
          </w:p>
        </w:tc>
        <w:tc>
          <w:tcPr>
            <w:tcW w:w="1035" w:type="dxa"/>
            <w:tcBorders>
              <w:top w:val="single" w:sz="6" w:space="0" w:color="152935"/>
              <w:bottom w:val="single" w:sz="6" w:space="0" w:color="152935"/>
            </w:tcBorders>
          </w:tcPr>
          <w:p w14:paraId="1F3CF548" w14:textId="77777777" w:rsidR="00BE483E" w:rsidRPr="00D6269C" w:rsidRDefault="00BE483E" w:rsidP="00726B2B">
            <w:pPr>
              <w:ind w:left="60" w:right="60"/>
              <w:contextualSpacing/>
              <w:jc w:val="right"/>
              <w:rPr>
                <w:b/>
                <w:bCs/>
                <w:i/>
                <w:iCs/>
                <w:sz w:val="18"/>
                <w:szCs w:val="18"/>
              </w:rPr>
            </w:pPr>
            <w:r w:rsidRPr="00D6269C">
              <w:rPr>
                <w:b/>
                <w:bCs/>
                <w:i/>
                <w:iCs/>
                <w:sz w:val="18"/>
                <w:szCs w:val="18"/>
              </w:rPr>
              <w:t>F</w:t>
            </w:r>
          </w:p>
        </w:tc>
        <w:tc>
          <w:tcPr>
            <w:tcW w:w="1035" w:type="dxa"/>
            <w:tcBorders>
              <w:top w:val="single" w:sz="6" w:space="0" w:color="152935"/>
              <w:bottom w:val="single" w:sz="6" w:space="0" w:color="152935"/>
            </w:tcBorders>
          </w:tcPr>
          <w:p w14:paraId="009A8887" w14:textId="77777777" w:rsidR="00BE483E" w:rsidRPr="00D6269C" w:rsidRDefault="00BE483E" w:rsidP="00726B2B">
            <w:pPr>
              <w:ind w:left="60" w:right="60"/>
              <w:contextualSpacing/>
              <w:jc w:val="right"/>
              <w:rPr>
                <w:b/>
                <w:bCs/>
                <w:sz w:val="18"/>
                <w:szCs w:val="18"/>
              </w:rPr>
            </w:pPr>
            <w:r w:rsidRPr="00D6269C">
              <w:rPr>
                <w:b/>
                <w:bCs/>
                <w:sz w:val="18"/>
                <w:szCs w:val="18"/>
              </w:rPr>
              <w:t>Sig.</w:t>
            </w:r>
          </w:p>
        </w:tc>
      </w:tr>
      <w:tr w:rsidR="00BE483E" w:rsidRPr="00D6269C" w14:paraId="2363924F" w14:textId="77777777" w:rsidTr="00D6269C">
        <w:trPr>
          <w:cantSplit/>
          <w:jc w:val="center"/>
        </w:trPr>
        <w:tc>
          <w:tcPr>
            <w:tcW w:w="1716" w:type="dxa"/>
            <w:tcBorders>
              <w:top w:val="single" w:sz="6" w:space="0" w:color="152935"/>
            </w:tcBorders>
          </w:tcPr>
          <w:p w14:paraId="5FCC2DA3" w14:textId="77777777" w:rsidR="00BE483E" w:rsidRPr="00D6269C" w:rsidRDefault="00BE483E" w:rsidP="00726B2B">
            <w:pPr>
              <w:ind w:left="60" w:right="60"/>
              <w:contextualSpacing/>
              <w:rPr>
                <w:sz w:val="20"/>
              </w:rPr>
            </w:pPr>
            <w:r w:rsidRPr="00D6269C">
              <w:rPr>
                <w:sz w:val="20"/>
              </w:rPr>
              <w:t>Between Groups</w:t>
            </w:r>
          </w:p>
        </w:tc>
        <w:tc>
          <w:tcPr>
            <w:tcW w:w="1485" w:type="dxa"/>
            <w:tcBorders>
              <w:top w:val="single" w:sz="6" w:space="0" w:color="152935"/>
            </w:tcBorders>
          </w:tcPr>
          <w:p w14:paraId="36FFAAFF" w14:textId="763E29F5" w:rsidR="00BE483E" w:rsidRPr="00D6269C" w:rsidRDefault="00BE483E" w:rsidP="00726B2B">
            <w:pPr>
              <w:ind w:left="60" w:right="60"/>
              <w:contextualSpacing/>
              <w:jc w:val="right"/>
              <w:rPr>
                <w:sz w:val="20"/>
              </w:rPr>
            </w:pPr>
            <w:r w:rsidRPr="00D6269C">
              <w:rPr>
                <w:sz w:val="20"/>
              </w:rPr>
              <w:t>.152</w:t>
            </w:r>
          </w:p>
        </w:tc>
        <w:tc>
          <w:tcPr>
            <w:tcW w:w="1035" w:type="dxa"/>
            <w:tcBorders>
              <w:top w:val="single" w:sz="6" w:space="0" w:color="152935"/>
            </w:tcBorders>
          </w:tcPr>
          <w:p w14:paraId="094FB7E1" w14:textId="2D1CC920" w:rsidR="00BE483E" w:rsidRPr="00D6269C" w:rsidRDefault="00BE483E" w:rsidP="00726B2B">
            <w:pPr>
              <w:ind w:left="60" w:right="60"/>
              <w:contextualSpacing/>
              <w:jc w:val="right"/>
              <w:rPr>
                <w:sz w:val="20"/>
              </w:rPr>
            </w:pPr>
            <w:r w:rsidRPr="00D6269C">
              <w:rPr>
                <w:sz w:val="20"/>
              </w:rPr>
              <w:t>2</w:t>
            </w:r>
          </w:p>
        </w:tc>
        <w:tc>
          <w:tcPr>
            <w:tcW w:w="1423" w:type="dxa"/>
            <w:tcBorders>
              <w:top w:val="single" w:sz="6" w:space="0" w:color="152935"/>
            </w:tcBorders>
          </w:tcPr>
          <w:p w14:paraId="524DF1E7" w14:textId="3143D192" w:rsidR="00BE483E" w:rsidRPr="00D6269C" w:rsidRDefault="00BE483E" w:rsidP="00726B2B">
            <w:pPr>
              <w:ind w:left="60" w:right="60"/>
              <w:contextualSpacing/>
              <w:jc w:val="right"/>
              <w:rPr>
                <w:sz w:val="20"/>
              </w:rPr>
            </w:pPr>
            <w:r w:rsidRPr="00D6269C">
              <w:rPr>
                <w:sz w:val="20"/>
              </w:rPr>
              <w:t>.076</w:t>
            </w:r>
          </w:p>
        </w:tc>
        <w:tc>
          <w:tcPr>
            <w:tcW w:w="1035" w:type="dxa"/>
            <w:tcBorders>
              <w:top w:val="single" w:sz="6" w:space="0" w:color="152935"/>
            </w:tcBorders>
          </w:tcPr>
          <w:p w14:paraId="1346097B" w14:textId="48458A57" w:rsidR="00BE483E" w:rsidRPr="00D6269C" w:rsidRDefault="00BE483E" w:rsidP="00726B2B">
            <w:pPr>
              <w:ind w:left="60" w:right="60"/>
              <w:contextualSpacing/>
              <w:jc w:val="right"/>
              <w:rPr>
                <w:sz w:val="20"/>
              </w:rPr>
            </w:pPr>
            <w:r w:rsidRPr="00D6269C">
              <w:rPr>
                <w:sz w:val="20"/>
              </w:rPr>
              <w:t>.310</w:t>
            </w:r>
          </w:p>
        </w:tc>
        <w:tc>
          <w:tcPr>
            <w:tcW w:w="1035" w:type="dxa"/>
            <w:tcBorders>
              <w:top w:val="single" w:sz="6" w:space="0" w:color="152935"/>
            </w:tcBorders>
          </w:tcPr>
          <w:p w14:paraId="00E67001" w14:textId="5573A671" w:rsidR="00BE483E" w:rsidRPr="00D6269C" w:rsidRDefault="00BE483E" w:rsidP="00726B2B">
            <w:pPr>
              <w:ind w:left="60" w:right="60"/>
              <w:contextualSpacing/>
              <w:jc w:val="right"/>
              <w:rPr>
                <w:sz w:val="20"/>
              </w:rPr>
            </w:pPr>
            <w:r w:rsidRPr="00D6269C">
              <w:rPr>
                <w:sz w:val="20"/>
              </w:rPr>
              <w:t>.736</w:t>
            </w:r>
          </w:p>
        </w:tc>
      </w:tr>
      <w:tr w:rsidR="00BE483E" w:rsidRPr="00D6269C" w14:paraId="495925A5" w14:textId="77777777" w:rsidTr="00D6269C">
        <w:trPr>
          <w:cantSplit/>
          <w:jc w:val="center"/>
        </w:trPr>
        <w:tc>
          <w:tcPr>
            <w:tcW w:w="1716" w:type="dxa"/>
          </w:tcPr>
          <w:p w14:paraId="3DF0A02A" w14:textId="77777777" w:rsidR="00BE483E" w:rsidRPr="00D6269C" w:rsidRDefault="00BE483E" w:rsidP="00726B2B">
            <w:pPr>
              <w:ind w:left="60" w:right="60"/>
              <w:contextualSpacing/>
              <w:rPr>
                <w:sz w:val="20"/>
              </w:rPr>
            </w:pPr>
            <w:r w:rsidRPr="00D6269C">
              <w:rPr>
                <w:sz w:val="20"/>
              </w:rPr>
              <w:t>Within Groups</w:t>
            </w:r>
          </w:p>
        </w:tc>
        <w:tc>
          <w:tcPr>
            <w:tcW w:w="1485" w:type="dxa"/>
          </w:tcPr>
          <w:p w14:paraId="533D4AD4" w14:textId="338AA052" w:rsidR="00BE483E" w:rsidRPr="00D6269C" w:rsidRDefault="00BE483E" w:rsidP="00726B2B">
            <w:pPr>
              <w:ind w:left="60" w:right="60"/>
              <w:contextualSpacing/>
              <w:jc w:val="right"/>
              <w:rPr>
                <w:sz w:val="20"/>
              </w:rPr>
            </w:pPr>
            <w:r w:rsidRPr="00D6269C">
              <w:rPr>
                <w:sz w:val="20"/>
              </w:rPr>
              <w:t>6.618</w:t>
            </w:r>
          </w:p>
        </w:tc>
        <w:tc>
          <w:tcPr>
            <w:tcW w:w="1035" w:type="dxa"/>
          </w:tcPr>
          <w:p w14:paraId="716C87D2" w14:textId="5D6AB4ED" w:rsidR="00BE483E" w:rsidRPr="00D6269C" w:rsidRDefault="00BE483E" w:rsidP="00726B2B">
            <w:pPr>
              <w:ind w:left="60" w:right="60"/>
              <w:contextualSpacing/>
              <w:jc w:val="right"/>
              <w:rPr>
                <w:sz w:val="20"/>
              </w:rPr>
            </w:pPr>
            <w:r w:rsidRPr="00D6269C">
              <w:rPr>
                <w:sz w:val="20"/>
              </w:rPr>
              <w:t>27</w:t>
            </w:r>
          </w:p>
        </w:tc>
        <w:tc>
          <w:tcPr>
            <w:tcW w:w="1423" w:type="dxa"/>
          </w:tcPr>
          <w:p w14:paraId="6BA37733" w14:textId="199FD34C" w:rsidR="00BE483E" w:rsidRPr="00D6269C" w:rsidRDefault="00BE483E" w:rsidP="00726B2B">
            <w:pPr>
              <w:ind w:left="60" w:right="60"/>
              <w:contextualSpacing/>
              <w:jc w:val="right"/>
              <w:rPr>
                <w:sz w:val="20"/>
              </w:rPr>
            </w:pPr>
            <w:r w:rsidRPr="00D6269C">
              <w:rPr>
                <w:sz w:val="20"/>
              </w:rPr>
              <w:t>.245</w:t>
            </w:r>
          </w:p>
        </w:tc>
        <w:tc>
          <w:tcPr>
            <w:tcW w:w="1035" w:type="dxa"/>
            <w:vAlign w:val="center"/>
          </w:tcPr>
          <w:p w14:paraId="7920DFBA" w14:textId="77777777" w:rsidR="00BE483E" w:rsidRPr="00D6269C" w:rsidRDefault="00BE483E" w:rsidP="00726B2B">
            <w:pPr>
              <w:contextualSpacing/>
              <w:rPr>
                <w:sz w:val="20"/>
              </w:rPr>
            </w:pPr>
          </w:p>
        </w:tc>
        <w:tc>
          <w:tcPr>
            <w:tcW w:w="1035" w:type="dxa"/>
            <w:vAlign w:val="center"/>
          </w:tcPr>
          <w:p w14:paraId="7D33DAAD" w14:textId="77777777" w:rsidR="00BE483E" w:rsidRPr="00D6269C" w:rsidRDefault="00BE483E" w:rsidP="00726B2B">
            <w:pPr>
              <w:contextualSpacing/>
              <w:rPr>
                <w:sz w:val="20"/>
              </w:rPr>
            </w:pPr>
          </w:p>
        </w:tc>
      </w:tr>
      <w:tr w:rsidR="00BE483E" w:rsidRPr="00D6269C" w14:paraId="500E9C99" w14:textId="77777777" w:rsidTr="00D6269C">
        <w:trPr>
          <w:cantSplit/>
          <w:jc w:val="center"/>
        </w:trPr>
        <w:tc>
          <w:tcPr>
            <w:tcW w:w="1716" w:type="dxa"/>
          </w:tcPr>
          <w:p w14:paraId="7C05FC16" w14:textId="77777777" w:rsidR="00BE483E" w:rsidRPr="00D6269C" w:rsidRDefault="00BE483E" w:rsidP="00726B2B">
            <w:pPr>
              <w:ind w:left="60" w:right="60"/>
              <w:contextualSpacing/>
              <w:rPr>
                <w:sz w:val="20"/>
              </w:rPr>
            </w:pPr>
            <w:r w:rsidRPr="00D6269C">
              <w:rPr>
                <w:sz w:val="20"/>
              </w:rPr>
              <w:t>Total</w:t>
            </w:r>
          </w:p>
        </w:tc>
        <w:tc>
          <w:tcPr>
            <w:tcW w:w="1485" w:type="dxa"/>
          </w:tcPr>
          <w:p w14:paraId="0CA4CD55" w14:textId="106A0493" w:rsidR="00BE483E" w:rsidRPr="00D6269C" w:rsidRDefault="00BE483E" w:rsidP="00726B2B">
            <w:pPr>
              <w:ind w:left="60" w:right="60"/>
              <w:contextualSpacing/>
              <w:jc w:val="right"/>
              <w:rPr>
                <w:sz w:val="20"/>
              </w:rPr>
            </w:pPr>
            <w:r w:rsidRPr="00D6269C">
              <w:rPr>
                <w:sz w:val="20"/>
              </w:rPr>
              <w:t>6.770</w:t>
            </w:r>
          </w:p>
        </w:tc>
        <w:tc>
          <w:tcPr>
            <w:tcW w:w="1035" w:type="dxa"/>
          </w:tcPr>
          <w:p w14:paraId="2965FABD" w14:textId="411AF09C" w:rsidR="00BE483E" w:rsidRPr="00D6269C" w:rsidRDefault="00BE483E" w:rsidP="00726B2B">
            <w:pPr>
              <w:ind w:left="60" w:right="60"/>
              <w:contextualSpacing/>
              <w:jc w:val="right"/>
              <w:rPr>
                <w:sz w:val="20"/>
              </w:rPr>
            </w:pPr>
            <w:r w:rsidRPr="00D6269C">
              <w:rPr>
                <w:sz w:val="20"/>
              </w:rPr>
              <w:t>29</w:t>
            </w:r>
          </w:p>
        </w:tc>
        <w:tc>
          <w:tcPr>
            <w:tcW w:w="1423" w:type="dxa"/>
            <w:vAlign w:val="center"/>
          </w:tcPr>
          <w:p w14:paraId="4850FBBA" w14:textId="77777777" w:rsidR="00BE483E" w:rsidRPr="00D6269C" w:rsidRDefault="00BE483E" w:rsidP="00726B2B">
            <w:pPr>
              <w:contextualSpacing/>
              <w:rPr>
                <w:sz w:val="20"/>
              </w:rPr>
            </w:pPr>
          </w:p>
        </w:tc>
        <w:tc>
          <w:tcPr>
            <w:tcW w:w="1035" w:type="dxa"/>
            <w:vAlign w:val="center"/>
          </w:tcPr>
          <w:p w14:paraId="65D5EAF4" w14:textId="77777777" w:rsidR="00BE483E" w:rsidRPr="00D6269C" w:rsidRDefault="00BE483E" w:rsidP="00726B2B">
            <w:pPr>
              <w:contextualSpacing/>
              <w:rPr>
                <w:sz w:val="20"/>
              </w:rPr>
            </w:pPr>
          </w:p>
        </w:tc>
        <w:tc>
          <w:tcPr>
            <w:tcW w:w="1035" w:type="dxa"/>
            <w:vAlign w:val="center"/>
          </w:tcPr>
          <w:p w14:paraId="5AA3916B" w14:textId="77777777" w:rsidR="00BE483E" w:rsidRPr="00D6269C" w:rsidRDefault="00BE483E" w:rsidP="00726B2B">
            <w:pPr>
              <w:contextualSpacing/>
              <w:rPr>
                <w:sz w:val="20"/>
              </w:rPr>
            </w:pPr>
          </w:p>
        </w:tc>
      </w:tr>
    </w:tbl>
    <w:p w14:paraId="0B53B659" w14:textId="77777777" w:rsidR="00D926FA" w:rsidRDefault="00D926FA" w:rsidP="00726B2B">
      <w:pPr>
        <w:pStyle w:val="Paragraph"/>
        <w:contextualSpacing/>
      </w:pPr>
    </w:p>
    <w:p w14:paraId="3E7077F9" w14:textId="060879F0" w:rsidR="00D6269C" w:rsidRPr="00D6269C" w:rsidRDefault="00BE483E" w:rsidP="009A0F2B">
      <w:pPr>
        <w:pStyle w:val="Paragraph"/>
        <w:ind w:firstLine="288"/>
        <w:contextualSpacing/>
      </w:pPr>
      <w:r w:rsidRPr="00D6269C">
        <w:t>T</w:t>
      </w:r>
      <w:r w:rsidR="007B2220" w:rsidRPr="00D6269C">
        <w:t xml:space="preserve">he p-value </w:t>
      </w:r>
      <w:r w:rsidRPr="00D6269C">
        <w:t>of .736 is g</w:t>
      </w:r>
      <w:r w:rsidR="007B2220" w:rsidRPr="00D6269C">
        <w:t>reater than</w:t>
      </w:r>
      <w:r w:rsidR="007B2220" w:rsidRPr="00D6269C">
        <w:rPr>
          <w:rFonts w:hint="eastAsia"/>
        </w:rPr>
        <w:t xml:space="preserve"> the significance level</w:t>
      </w:r>
      <w:r w:rsidR="007B2220" w:rsidRPr="00D6269C">
        <w:t xml:space="preserve">. This means we fail to reject the null hypothesis, indicating that there are no significant differences in students' perceptions based on </w:t>
      </w:r>
      <w:r w:rsidR="00747B8E" w:rsidRPr="00D6269C">
        <w:t>students’</w:t>
      </w:r>
      <w:r w:rsidR="007B2220" w:rsidRPr="00D6269C">
        <w:t xml:space="preserve"> performance level</w:t>
      </w:r>
      <w:r w:rsidRPr="00D6269C">
        <w:t>.</w:t>
      </w:r>
    </w:p>
    <w:p w14:paraId="394EDA73" w14:textId="001827A4" w:rsidR="00012CDC" w:rsidRPr="00D6269C" w:rsidRDefault="00012CDC" w:rsidP="00726B2B">
      <w:pPr>
        <w:pStyle w:val="Paragraph"/>
        <w:ind w:firstLine="288"/>
        <w:contextualSpacing/>
      </w:pPr>
      <w:r w:rsidRPr="00D6269C">
        <w:t>The η2 is 0.4832</w:t>
      </w:r>
      <w:r w:rsidR="00676B8F" w:rsidRPr="00D6269C">
        <w:t xml:space="preserve"> indicates the effect size is very large.</w:t>
      </w:r>
    </w:p>
    <w:p w14:paraId="335B067C" w14:textId="76822BF7" w:rsidR="004D601C" w:rsidRPr="00D6269C" w:rsidRDefault="004D601C" w:rsidP="00726B2B">
      <w:pPr>
        <w:pStyle w:val="Heading1"/>
        <w:contextualSpacing/>
      </w:pPr>
      <w:r w:rsidRPr="00D6269C">
        <w:lastRenderedPageBreak/>
        <w:t>Discussion</w:t>
      </w:r>
    </w:p>
    <w:p w14:paraId="73C04448" w14:textId="5F5B6712" w:rsidR="00E47276" w:rsidRDefault="00274619" w:rsidP="00726B2B">
      <w:pPr>
        <w:pStyle w:val="Paragraph"/>
        <w:ind w:firstLine="288"/>
        <w:contextualSpacing/>
        <w:rPr>
          <w:lang w:eastAsia="zh-CN"/>
        </w:rPr>
      </w:pPr>
      <w:r>
        <w:t>T</w:t>
      </w:r>
      <w:r w:rsidR="00E47276" w:rsidRPr="000C319B">
        <w:t>his</w:t>
      </w:r>
      <w:r>
        <w:t xml:space="preserve"> </w:t>
      </w:r>
      <w:r w:rsidR="00E47276" w:rsidRPr="000C319B">
        <w:t xml:space="preserve">study </w:t>
      </w:r>
      <w:r>
        <w:t>is to understand undergraduate</w:t>
      </w:r>
      <w:r w:rsidR="00E47276" w:rsidRPr="000C319B">
        <w:t xml:space="preserve">s' perceptions of using a </w:t>
      </w:r>
      <w:r w:rsidR="00F37CE9">
        <w:t>CA</w:t>
      </w:r>
      <w:r w:rsidR="00E47276" w:rsidRPr="000C319B">
        <w:t xml:space="preserve"> in </w:t>
      </w:r>
      <w:r>
        <w:t xml:space="preserve">their mathematics </w:t>
      </w:r>
      <w:r w:rsidR="00E47276" w:rsidRPr="000C319B">
        <w:t>learning</w:t>
      </w:r>
      <w:r>
        <w:t xml:space="preserve">. </w:t>
      </w:r>
      <w:r w:rsidR="00E47276" w:rsidRPr="000C319B">
        <w:t xml:space="preserve">The </w:t>
      </w:r>
      <w:r w:rsidR="001E056A">
        <w:rPr>
          <w:rFonts w:hint="eastAsia"/>
          <w:lang w:eastAsia="zh-CN"/>
        </w:rPr>
        <w:t>results</w:t>
      </w:r>
      <w:r w:rsidR="00E47276" w:rsidRPr="000C319B">
        <w:t xml:space="preserve"> revealed several key findings.</w:t>
      </w:r>
      <w:r w:rsidR="00E47276">
        <w:rPr>
          <w:rFonts w:hint="eastAsia"/>
          <w:lang w:eastAsia="zh-CN"/>
        </w:rPr>
        <w:t xml:space="preserve"> </w:t>
      </w:r>
    </w:p>
    <w:p w14:paraId="6A29B837" w14:textId="56EEA791" w:rsidR="00BE6B07" w:rsidRDefault="001E056A" w:rsidP="00726B2B">
      <w:pPr>
        <w:pStyle w:val="Paragraph"/>
        <w:ind w:firstLine="288"/>
        <w:contextualSpacing/>
      </w:pPr>
      <w:r>
        <w:rPr>
          <w:rFonts w:hint="eastAsia"/>
          <w:lang w:eastAsia="zh-CN"/>
        </w:rPr>
        <w:t>First, t</w:t>
      </w:r>
      <w:r w:rsidR="00101C13">
        <w:rPr>
          <w:rFonts w:hint="eastAsia"/>
          <w:lang w:eastAsia="zh-CN"/>
        </w:rPr>
        <w:t xml:space="preserve">he </w:t>
      </w:r>
      <w:r w:rsidR="00274619">
        <w:rPr>
          <w:lang w:eastAsia="zh-CN"/>
        </w:rPr>
        <w:t xml:space="preserve">overall </w:t>
      </w:r>
      <w:r w:rsidR="00101C13">
        <w:rPr>
          <w:rFonts w:hint="eastAsia"/>
          <w:lang w:eastAsia="zh-CN"/>
        </w:rPr>
        <w:t xml:space="preserve">mean score </w:t>
      </w:r>
      <w:r w:rsidR="00274619">
        <w:rPr>
          <w:lang w:eastAsia="zh-CN"/>
        </w:rPr>
        <w:t xml:space="preserve">of </w:t>
      </w:r>
      <w:r w:rsidR="00274619" w:rsidRPr="005C6275">
        <w:rPr>
          <w:lang w:eastAsia="zh-CN"/>
        </w:rPr>
        <w:t xml:space="preserve">4.1400 </w:t>
      </w:r>
      <w:r w:rsidR="00101C13" w:rsidRPr="00101C13">
        <w:rPr>
          <w:lang w:eastAsia="zh-CN"/>
        </w:rPr>
        <w:t>indicate</w:t>
      </w:r>
      <w:r w:rsidR="00274619">
        <w:rPr>
          <w:lang w:eastAsia="zh-CN"/>
        </w:rPr>
        <w:t>s</w:t>
      </w:r>
      <w:r w:rsidR="00101C13" w:rsidRPr="00101C13">
        <w:rPr>
          <w:lang w:eastAsia="zh-CN"/>
        </w:rPr>
        <w:t xml:space="preserve"> that students were supportive of using CA as a learning tool, despite it being their first experience </w:t>
      </w:r>
      <w:r w:rsidR="00274619">
        <w:rPr>
          <w:lang w:eastAsia="zh-CN"/>
        </w:rPr>
        <w:t>using</w:t>
      </w:r>
      <w:r w:rsidR="00101C13" w:rsidRPr="00101C13">
        <w:rPr>
          <w:lang w:eastAsia="zh-CN"/>
        </w:rPr>
        <w:t xml:space="preserve"> it</w:t>
      </w:r>
      <w:r w:rsidR="00274619">
        <w:rPr>
          <w:lang w:eastAsia="zh-CN"/>
        </w:rPr>
        <w:t xml:space="preserve"> in learning</w:t>
      </w:r>
      <w:r w:rsidR="00101C13" w:rsidRPr="00101C13">
        <w:rPr>
          <w:lang w:eastAsia="zh-CN"/>
        </w:rPr>
        <w:t xml:space="preserve">. </w:t>
      </w:r>
      <w:r w:rsidR="00BE6B07" w:rsidRPr="00EF134E">
        <w:t xml:space="preserve">The results of this study demonstrate that students' perceptions of the usefulness and ease of use of educational conversational agents significantly influence their intention to use these tools. This is consistent with previous research in the broader field of educational technology adoption, which has shown that students are more likely to engage with tools that they find both useful and easy to use </w:t>
      </w:r>
      <w:r w:rsidR="00C45232">
        <w:t>[13]</w:t>
      </w:r>
      <w:r w:rsidR="00BE6B07" w:rsidRPr="00EF134E">
        <w:t xml:space="preserve">. </w:t>
      </w:r>
    </w:p>
    <w:p w14:paraId="5C897665" w14:textId="73A24667" w:rsidR="001E056A" w:rsidRDefault="001E056A" w:rsidP="00726B2B">
      <w:pPr>
        <w:pStyle w:val="Paragraph"/>
        <w:ind w:firstLine="288"/>
        <w:contextualSpacing/>
        <w:rPr>
          <w:lang w:eastAsia="zh-CN"/>
        </w:rPr>
      </w:pPr>
      <w:r>
        <w:rPr>
          <w:rFonts w:hint="eastAsia"/>
          <w:lang w:eastAsia="zh-CN"/>
        </w:rPr>
        <w:t>T</w:t>
      </w:r>
      <w:r w:rsidR="00F543F7" w:rsidRPr="00F543F7">
        <w:rPr>
          <w:lang w:eastAsia="zh-CN"/>
        </w:rPr>
        <w:t xml:space="preserve">he students in this study, who used a digital instructor for one-on-one, self-paced learning, expressed satisfaction with the human-like conversations provided by the CA </w:t>
      </w:r>
      <w:r w:rsidR="00C45232">
        <w:rPr>
          <w:lang w:eastAsia="zh-CN"/>
        </w:rPr>
        <w:t>[38], [39]</w:t>
      </w:r>
      <w:r w:rsidR="00BC222E">
        <w:rPr>
          <w:lang w:eastAsia="zh-CN"/>
        </w:rPr>
        <w:t xml:space="preserve"> during the interview session too</w:t>
      </w:r>
      <w:r w:rsidR="00F543F7" w:rsidRPr="00F543F7">
        <w:rPr>
          <w:lang w:eastAsia="zh-CN"/>
        </w:rPr>
        <w:t>. They preferred this personalized approach to learning</w:t>
      </w:r>
      <w:r w:rsidR="00BC222E">
        <w:rPr>
          <w:lang w:eastAsia="zh-CN"/>
        </w:rPr>
        <w:t xml:space="preserve"> as they could </w:t>
      </w:r>
      <w:r w:rsidR="00F543F7" w:rsidRPr="00F543F7">
        <w:rPr>
          <w:lang w:eastAsia="zh-CN"/>
        </w:rPr>
        <w:t xml:space="preserve">learn at their own pace </w:t>
      </w:r>
      <w:r w:rsidR="00BE6B07">
        <w:rPr>
          <w:lang w:eastAsia="zh-CN"/>
        </w:rPr>
        <w:t xml:space="preserve">and preferable time </w:t>
      </w:r>
      <w:r w:rsidR="00BC222E">
        <w:rPr>
          <w:lang w:eastAsia="zh-CN"/>
        </w:rPr>
        <w:t>through</w:t>
      </w:r>
      <w:r w:rsidR="00F543F7" w:rsidRPr="00F543F7">
        <w:rPr>
          <w:lang w:eastAsia="zh-CN"/>
        </w:rPr>
        <w:t xml:space="preserve"> their own devices. </w:t>
      </w:r>
      <w:r w:rsidR="004D53A0">
        <w:rPr>
          <w:lang w:eastAsia="zh-CN"/>
        </w:rPr>
        <w:t>Therefore, students</w:t>
      </w:r>
      <w:r w:rsidR="00F543F7" w:rsidRPr="00F543F7">
        <w:rPr>
          <w:lang w:eastAsia="zh-CN"/>
        </w:rPr>
        <w:t xml:space="preserve"> perceiv</w:t>
      </w:r>
      <w:r w:rsidR="00AF37D7">
        <w:rPr>
          <w:lang w:eastAsia="zh-CN"/>
        </w:rPr>
        <w:t>e</w:t>
      </w:r>
      <w:r w:rsidR="00F543F7" w:rsidRPr="00F543F7">
        <w:rPr>
          <w:lang w:eastAsia="zh-CN"/>
        </w:rPr>
        <w:t xml:space="preserve"> CA as enjoyable, a sentiment supported by</w:t>
      </w:r>
      <w:r w:rsidR="00C45232">
        <w:rPr>
          <w:lang w:eastAsia="zh-CN"/>
        </w:rPr>
        <w:t xml:space="preserve"> [40] and [41]</w:t>
      </w:r>
      <w:r w:rsidR="00F543F7" w:rsidRPr="00F543F7">
        <w:rPr>
          <w:lang w:eastAsia="zh-CN"/>
        </w:rPr>
        <w:t xml:space="preserve"> </w:t>
      </w:r>
      <w:r>
        <w:rPr>
          <w:rFonts w:hint="eastAsia"/>
          <w:lang w:eastAsia="zh-CN"/>
        </w:rPr>
        <w:t>at which p</w:t>
      </w:r>
      <w:r w:rsidRPr="000C319B">
        <w:t xml:space="preserve">ersonalized </w:t>
      </w:r>
      <w:r>
        <w:rPr>
          <w:rFonts w:hint="eastAsia"/>
          <w:lang w:eastAsia="zh-CN"/>
        </w:rPr>
        <w:t xml:space="preserve">CAs </w:t>
      </w:r>
      <w:r w:rsidRPr="000C319B">
        <w:t xml:space="preserve">could </w:t>
      </w:r>
      <w:r w:rsidR="00EE6F19" w:rsidRPr="000C319B">
        <w:t>tailor</w:t>
      </w:r>
      <w:r w:rsidRPr="000C319B">
        <w:t xml:space="preserve"> interactions to individual learning preferences</w:t>
      </w:r>
      <w:r>
        <w:rPr>
          <w:rFonts w:hint="eastAsia"/>
          <w:lang w:eastAsia="zh-CN"/>
        </w:rPr>
        <w:t>.</w:t>
      </w:r>
      <w:r w:rsidR="00FE1642">
        <w:rPr>
          <w:rFonts w:hint="eastAsia"/>
          <w:lang w:eastAsia="zh-CN"/>
        </w:rPr>
        <w:t xml:space="preserve"> </w:t>
      </w:r>
      <w:r w:rsidR="00BC222E">
        <w:rPr>
          <w:lang w:eastAsia="zh-CN"/>
        </w:rPr>
        <w:t xml:space="preserve">Additionally, students feedback that the responds are </w:t>
      </w:r>
      <w:r w:rsidR="004D53A0">
        <w:rPr>
          <w:lang w:eastAsia="zh-CN"/>
        </w:rPr>
        <w:t>instant,</w:t>
      </w:r>
      <w:r w:rsidR="00BC222E">
        <w:rPr>
          <w:lang w:eastAsia="zh-CN"/>
        </w:rPr>
        <w:t xml:space="preserve"> </w:t>
      </w:r>
      <w:r w:rsidR="008116FC">
        <w:rPr>
          <w:lang w:eastAsia="zh-CN"/>
        </w:rPr>
        <w:t>and it is</w:t>
      </w:r>
      <w:r w:rsidR="00FE1642" w:rsidRPr="00F543F7">
        <w:rPr>
          <w:lang w:eastAsia="zh-CN"/>
        </w:rPr>
        <w:t xml:space="preserve"> a "tireless" learning assistant, available at any time to support their learning, even when the content was repeated</w:t>
      </w:r>
      <w:r w:rsidR="00C45232">
        <w:rPr>
          <w:lang w:eastAsia="zh-CN"/>
        </w:rPr>
        <w:t xml:space="preserve"> [42]</w:t>
      </w:r>
      <w:r w:rsidR="00EE6F19">
        <w:rPr>
          <w:lang w:eastAsia="zh-CN"/>
        </w:rPr>
        <w:t>.</w:t>
      </w:r>
    </w:p>
    <w:p w14:paraId="72BEC461" w14:textId="7E8B7432" w:rsidR="008116FC" w:rsidRDefault="001E056A" w:rsidP="00726B2B">
      <w:pPr>
        <w:pStyle w:val="Paragraph"/>
        <w:ind w:firstLine="288"/>
        <w:contextualSpacing/>
        <w:rPr>
          <w:lang w:eastAsia="zh-CN"/>
        </w:rPr>
      </w:pPr>
      <w:r>
        <w:rPr>
          <w:rFonts w:hint="eastAsia"/>
          <w:lang w:eastAsia="zh-CN"/>
        </w:rPr>
        <w:t xml:space="preserve">Second, </w:t>
      </w:r>
      <w:r w:rsidR="008116FC">
        <w:rPr>
          <w:lang w:eastAsia="zh-CN"/>
        </w:rPr>
        <w:t>the results revealed the lack of significant differences in males and females’ perceptions toward CA</w:t>
      </w:r>
      <w:r w:rsidR="00AF37D7">
        <w:rPr>
          <w:lang w:eastAsia="zh-CN"/>
        </w:rPr>
        <w:t xml:space="preserve"> which is </w:t>
      </w:r>
      <w:r w:rsidR="008116FC" w:rsidRPr="000C0C22">
        <w:t>consistent with</w:t>
      </w:r>
      <w:r w:rsidR="00AF37D7">
        <w:t xml:space="preserve"> </w:t>
      </w:r>
      <w:r w:rsidR="008116FC" w:rsidRPr="000C0C22">
        <w:t>broader educational research</w:t>
      </w:r>
      <w:r w:rsidR="00AF37D7">
        <w:t xml:space="preserve">. </w:t>
      </w:r>
      <w:r w:rsidR="008116FC">
        <w:t>T</w:t>
      </w:r>
      <w:r w:rsidR="008116FC" w:rsidRPr="000C0C22">
        <w:t>he use of technology in education tends to benefit all students equally</w:t>
      </w:r>
      <w:r w:rsidR="00C45232">
        <w:t xml:space="preserve"> [43]</w:t>
      </w:r>
      <w:r w:rsidR="008116FC">
        <w:rPr>
          <w:rFonts w:hint="eastAsia"/>
          <w:lang w:eastAsia="zh-CN"/>
        </w:rPr>
        <w:t>.</w:t>
      </w:r>
      <w:r w:rsidR="008116FC" w:rsidRPr="000C0C22">
        <w:t xml:space="preserve"> This </w:t>
      </w:r>
      <w:r w:rsidR="008116FC">
        <w:t xml:space="preserve">result </w:t>
      </w:r>
      <w:r w:rsidR="008116FC" w:rsidRPr="000C0C22">
        <w:t>suggests that CAs could be a valuable tool in promoting gender equity in mathematics education by providing equal opportunities for engagement and support.</w:t>
      </w:r>
    </w:p>
    <w:p w14:paraId="330298E5" w14:textId="0B244238" w:rsidR="004112E3" w:rsidRDefault="008116FC" w:rsidP="00726B2B">
      <w:pPr>
        <w:pStyle w:val="Paragraph"/>
        <w:ind w:firstLine="288"/>
        <w:contextualSpacing/>
        <w:rPr>
          <w:lang w:eastAsia="zh-CN"/>
        </w:rPr>
      </w:pPr>
      <w:r>
        <w:rPr>
          <w:lang w:eastAsia="zh-CN"/>
        </w:rPr>
        <w:t xml:space="preserve">Third, the </w:t>
      </w:r>
      <w:r w:rsidR="00AF37D7">
        <w:rPr>
          <w:lang w:eastAsia="zh-CN"/>
        </w:rPr>
        <w:t xml:space="preserve">ANOVA </w:t>
      </w:r>
      <w:r>
        <w:rPr>
          <w:lang w:eastAsia="zh-CN"/>
        </w:rPr>
        <w:t xml:space="preserve">results indicated that </w:t>
      </w:r>
      <w:r w:rsidR="00986A85" w:rsidRPr="000C0C22">
        <w:t>students</w:t>
      </w:r>
      <w:r w:rsidR="00AF37D7">
        <w:t xml:space="preserve"> of different performance levels </w:t>
      </w:r>
      <w:r w:rsidR="00986A85" w:rsidRPr="000C0C22">
        <w:t>perce</w:t>
      </w:r>
      <w:r w:rsidR="00AF37D7">
        <w:t>ive the same in</w:t>
      </w:r>
      <w:r w:rsidR="00986A85" w:rsidRPr="000C0C22">
        <w:t xml:space="preserve"> using </w:t>
      </w:r>
      <w:r w:rsidR="00986A85">
        <w:rPr>
          <w:rFonts w:hint="eastAsia"/>
          <w:lang w:eastAsia="zh-CN"/>
        </w:rPr>
        <w:t xml:space="preserve">CA </w:t>
      </w:r>
      <w:r w:rsidR="00AF37D7">
        <w:t xml:space="preserve">in their learning. </w:t>
      </w:r>
      <w:r>
        <w:rPr>
          <w:lang w:eastAsia="zh-CN"/>
        </w:rPr>
        <w:t xml:space="preserve">This </w:t>
      </w:r>
      <w:r w:rsidR="00AF37D7">
        <w:rPr>
          <w:lang w:eastAsia="zh-CN"/>
        </w:rPr>
        <w:t xml:space="preserve">implies </w:t>
      </w:r>
      <w:r w:rsidR="001E056A" w:rsidRPr="000C0C22">
        <w:t>that CAs may offer a consistent level of support and engagement</w:t>
      </w:r>
      <w:r w:rsidR="00986A85">
        <w:rPr>
          <w:rFonts w:hint="eastAsia"/>
          <w:lang w:eastAsia="zh-CN"/>
        </w:rPr>
        <w:t xml:space="preserve">, and </w:t>
      </w:r>
      <w:r w:rsidR="00986A85" w:rsidRPr="000C0C22">
        <w:t>provide a uniform learning experience</w:t>
      </w:r>
      <w:r w:rsidR="00986A85">
        <w:rPr>
          <w:rFonts w:hint="eastAsia"/>
          <w:lang w:eastAsia="zh-CN"/>
        </w:rPr>
        <w:t xml:space="preserve"> </w:t>
      </w:r>
      <w:r w:rsidR="001E056A" w:rsidRPr="000C0C22">
        <w:t>to all students</w:t>
      </w:r>
      <w:r>
        <w:t>, regardless</w:t>
      </w:r>
      <w:r w:rsidR="001E056A" w:rsidRPr="000C0C22">
        <w:t xml:space="preserve"> of their academic </w:t>
      </w:r>
      <w:r w:rsidRPr="000C0C22">
        <w:t>performance levels</w:t>
      </w:r>
      <w:r w:rsidR="001E056A" w:rsidRPr="000C0C22">
        <w:t xml:space="preserve">. This is </w:t>
      </w:r>
      <w:r>
        <w:t>especiall</w:t>
      </w:r>
      <w:r w:rsidR="001E056A" w:rsidRPr="000C0C22">
        <w:t>y important in mathematics education</w:t>
      </w:r>
      <w:r>
        <w:t xml:space="preserve"> as </w:t>
      </w:r>
      <w:r w:rsidR="001E056A" w:rsidRPr="000C0C22">
        <w:t>anxiety and negative attitudes can hinder</w:t>
      </w:r>
      <w:r>
        <w:t xml:space="preserve"> </w:t>
      </w:r>
      <w:r w:rsidR="004112E3">
        <w:t>students’</w:t>
      </w:r>
      <w:r w:rsidR="001E056A" w:rsidRPr="000C0C22">
        <w:t xml:space="preserve"> performance. CAs can reduce mathematics anxiety and improve students' attitudes towards the subject</w:t>
      </w:r>
      <w:r w:rsidR="004C1B8B">
        <w:t xml:space="preserve"> [44</w:t>
      </w:r>
      <w:r w:rsidR="00EE6F19">
        <w:t>]</w:t>
      </w:r>
      <w:r w:rsidR="00333ECE">
        <w:rPr>
          <w:rFonts w:hint="eastAsia"/>
          <w:lang w:eastAsia="zh-CN"/>
        </w:rPr>
        <w:t>.</w:t>
      </w:r>
    </w:p>
    <w:p w14:paraId="1EB398BC" w14:textId="1F38E2FA" w:rsidR="00C93FA0" w:rsidRPr="00EF134E" w:rsidRDefault="004112E3" w:rsidP="00726B2B">
      <w:pPr>
        <w:pStyle w:val="Paragraph"/>
        <w:ind w:firstLine="288"/>
        <w:contextualSpacing/>
        <w:rPr>
          <w:lang w:eastAsia="zh-CN"/>
        </w:rPr>
      </w:pPr>
      <w:r>
        <w:rPr>
          <w:lang w:eastAsia="zh-CN"/>
        </w:rPr>
        <w:t>In a</w:t>
      </w:r>
      <w:r w:rsidR="004D601C" w:rsidRPr="00EF134E">
        <w:t xml:space="preserve">ddition, </w:t>
      </w:r>
      <w:r w:rsidR="00AB526E">
        <w:t>t</w:t>
      </w:r>
      <w:r w:rsidR="00F84BF8">
        <w:t>h</w:t>
      </w:r>
      <w:r w:rsidR="00AB526E">
        <w:t xml:space="preserve">is study and the </w:t>
      </w:r>
      <w:r w:rsidR="00F84BF8">
        <w:t xml:space="preserve">design of CA </w:t>
      </w:r>
      <w:r w:rsidR="00414151">
        <w:t xml:space="preserve">in this study </w:t>
      </w:r>
      <w:r w:rsidR="00F84BF8">
        <w:t xml:space="preserve">is </w:t>
      </w:r>
      <w:r>
        <w:t>ground</w:t>
      </w:r>
      <w:r w:rsidR="00F84BF8">
        <w:t xml:space="preserve">ed on Vygotsky’s Theory </w:t>
      </w:r>
      <w:r w:rsidR="00414151">
        <w:t xml:space="preserve">that </w:t>
      </w:r>
      <w:r w:rsidR="00F37CE9">
        <w:t>scaffolds</w:t>
      </w:r>
      <w:r w:rsidR="00F84BF8">
        <w:t xml:space="preserve"> students in their Z</w:t>
      </w:r>
      <w:r w:rsidR="00414151">
        <w:t xml:space="preserve">one of </w:t>
      </w:r>
      <w:r w:rsidR="00F84BF8">
        <w:t>P</w:t>
      </w:r>
      <w:r w:rsidR="00414151">
        <w:t xml:space="preserve">roximal </w:t>
      </w:r>
      <w:r w:rsidR="00F84BF8">
        <w:t>D</w:t>
      </w:r>
      <w:r w:rsidR="00414151">
        <w:t>evelopment</w:t>
      </w:r>
      <w:r w:rsidR="00F84BF8">
        <w:t xml:space="preserve">. </w:t>
      </w:r>
      <w:r w:rsidR="00AB526E">
        <w:t>Meanwhile, s</w:t>
      </w:r>
      <w:r w:rsidR="00F84BF8">
        <w:t xml:space="preserve">tudents </w:t>
      </w:r>
      <w:r w:rsidR="00AB526E">
        <w:t>have the option</w:t>
      </w:r>
      <w:r w:rsidR="00F84BF8">
        <w:t xml:space="preserve"> to learn the problem solving with </w:t>
      </w:r>
      <w:r w:rsidR="00AB526E">
        <w:t xml:space="preserve">hints or </w:t>
      </w:r>
      <w:r w:rsidR="00F84BF8">
        <w:t>step-by-step guideline</w:t>
      </w:r>
      <w:r w:rsidR="00414151">
        <w:t>s</w:t>
      </w:r>
      <w:r w:rsidR="00AB526E">
        <w:t xml:space="preserve"> </w:t>
      </w:r>
      <w:r w:rsidR="00F84BF8">
        <w:t>and solutions</w:t>
      </w:r>
      <w:r w:rsidR="000133FF">
        <w:t xml:space="preserve">, which </w:t>
      </w:r>
      <w:r w:rsidR="000133FF" w:rsidRPr="00B75DC4">
        <w:t>can significantly improve their learning experience</w:t>
      </w:r>
      <w:r w:rsidR="004C1B8B">
        <w:t xml:space="preserve"> [20]</w:t>
      </w:r>
      <w:r w:rsidR="000133FF" w:rsidRPr="00B75DC4">
        <w:t>.</w:t>
      </w:r>
      <w:r w:rsidR="000133FF">
        <w:t xml:space="preserve"> </w:t>
      </w:r>
      <w:r w:rsidR="003D03BE">
        <w:t>Students’</w:t>
      </w:r>
      <w:r w:rsidR="00AB526E">
        <w:t xml:space="preserve"> motivation and </w:t>
      </w:r>
      <w:r w:rsidR="003D03BE">
        <w:t>engagement tend to increase w</w:t>
      </w:r>
      <w:r w:rsidR="00C93FA0" w:rsidRPr="00B75DC4">
        <w:t>hen CAs offer clear</w:t>
      </w:r>
      <w:r w:rsidR="003D03BE">
        <w:t xml:space="preserve"> or</w:t>
      </w:r>
      <w:r w:rsidR="00C93FA0" w:rsidRPr="00B75DC4">
        <w:t xml:space="preserve"> scaffolded support to help the students</w:t>
      </w:r>
      <w:r w:rsidR="003D03BE">
        <w:t xml:space="preserve"> to</w:t>
      </w:r>
      <w:r w:rsidR="00C93FA0" w:rsidRPr="00B75DC4">
        <w:t xml:space="preserve"> progress at their own pace</w:t>
      </w:r>
      <w:r w:rsidR="004C1B8B">
        <w:t xml:space="preserve"> [45]</w:t>
      </w:r>
      <w:r w:rsidR="00EE6F19">
        <w:t xml:space="preserve">. </w:t>
      </w:r>
      <w:r w:rsidR="00AB526E">
        <w:t xml:space="preserve">These might </w:t>
      </w:r>
      <w:r w:rsidR="003D03BE">
        <w:t xml:space="preserve">be the </w:t>
      </w:r>
      <w:r w:rsidR="004C1B8B">
        <w:t>factors that</w:t>
      </w:r>
      <w:r w:rsidR="003D03BE">
        <w:t xml:space="preserve"> </w:t>
      </w:r>
      <w:r w:rsidR="00AB526E">
        <w:t>contribute to the uniform perception of students with different performance levels.</w:t>
      </w:r>
    </w:p>
    <w:p w14:paraId="503B556A" w14:textId="553867F9" w:rsidR="004D601C" w:rsidRPr="000109F7" w:rsidRDefault="004D601C" w:rsidP="00726B2B">
      <w:pPr>
        <w:pStyle w:val="Heading1"/>
        <w:contextualSpacing/>
      </w:pPr>
      <w:r w:rsidRPr="00EF134E">
        <w:t>Conclusion</w:t>
      </w:r>
    </w:p>
    <w:p w14:paraId="1C85ADC6" w14:textId="2E9841DA" w:rsidR="00D04D2F" w:rsidRPr="00D6269C" w:rsidRDefault="00D04D2F" w:rsidP="00726B2B">
      <w:pPr>
        <w:pStyle w:val="Paragraph"/>
        <w:ind w:firstLine="288"/>
        <w:contextualSpacing/>
      </w:pPr>
      <w:r w:rsidRPr="00D6269C">
        <w:t xml:space="preserve">Overall, the students of this study favor </w:t>
      </w:r>
      <w:r w:rsidR="00A66DEF" w:rsidRPr="00D6269C">
        <w:t>using</w:t>
      </w:r>
      <w:r w:rsidRPr="00D6269C">
        <w:t xml:space="preserve"> CA as their mathematics learning tool regardless of their gender or academic performance level.</w:t>
      </w:r>
      <w:r w:rsidR="00A66DEF" w:rsidRPr="00D6269C">
        <w:t xml:space="preserve"> The findings may provide insights to guide in the design and implementation of CA to meet students’ needs and promote adoption in other subjects. Future research should explore the incorporation of CAs in larger samples, to other subjects, and study its long-term impact and potential strategies to optimize its effecti</w:t>
      </w:r>
      <w:r w:rsidR="001466C2" w:rsidRPr="00D6269C">
        <w:t>veness.</w:t>
      </w:r>
      <w:r w:rsidR="00A66DEF" w:rsidRPr="00D6269C">
        <w:t xml:space="preserve"> </w:t>
      </w:r>
    </w:p>
    <w:p w14:paraId="7F67D01C" w14:textId="77777777" w:rsidR="00D6269C" w:rsidRDefault="00F27D3F" w:rsidP="00726B2B">
      <w:pPr>
        <w:pStyle w:val="Heading1"/>
        <w:contextualSpacing/>
      </w:pPr>
      <w:r w:rsidRPr="00D6269C">
        <w:t>Acknowledgments</w:t>
      </w:r>
    </w:p>
    <w:p w14:paraId="0A4DB8E3" w14:textId="220AA777" w:rsidR="00F27D3F" w:rsidRPr="00075EA6" w:rsidRDefault="003C2AFE" w:rsidP="00726B2B">
      <w:pPr>
        <w:pStyle w:val="Paragraph"/>
        <w:ind w:firstLine="288"/>
        <w:contextualSpacing/>
      </w:pPr>
      <w:r w:rsidRPr="003C2AFE">
        <w:t>We sincerely thank all the participants for their invaluable contributions in this study.</w:t>
      </w:r>
    </w:p>
    <w:p w14:paraId="29442A2D" w14:textId="7F48F10A" w:rsidR="00CA0866" w:rsidRPr="00D6269C" w:rsidRDefault="00CA0866" w:rsidP="001A2CBE">
      <w:pPr>
        <w:pStyle w:val="Heading1"/>
        <w:contextualSpacing/>
      </w:pPr>
      <w:r w:rsidRPr="00D6269C">
        <w:t>References</w:t>
      </w:r>
    </w:p>
    <w:p w14:paraId="642924AE" w14:textId="77777777" w:rsidR="00EC4CF0" w:rsidRPr="004F0CAF" w:rsidRDefault="003E0C4A" w:rsidP="00C852D2">
      <w:pPr>
        <w:pStyle w:val="ListParagraph"/>
        <w:numPr>
          <w:ilvl w:val="0"/>
          <w:numId w:val="4"/>
        </w:numPr>
        <w:ind w:left="432" w:hanging="432"/>
        <w:contextualSpacing w:val="0"/>
        <w:jc w:val="both"/>
        <w:rPr>
          <w:sz w:val="20"/>
        </w:rPr>
      </w:pPr>
      <w:r w:rsidRPr="004F0CAF">
        <w:rPr>
          <w:sz w:val="20"/>
        </w:rPr>
        <w:fldChar w:fldCharType="begin"/>
      </w:r>
      <w:r w:rsidRPr="004F0CAF">
        <w:rPr>
          <w:sz w:val="20"/>
        </w:rPr>
        <w:instrText xml:space="preserve"> BIBLIOGRAPHY  \l 1033 </w:instrText>
      </w:r>
      <w:r w:rsidRPr="004F0CAF">
        <w:rPr>
          <w:sz w:val="20"/>
        </w:rPr>
        <w:fldChar w:fldCharType="separate"/>
      </w:r>
      <w:r w:rsidR="00E779F0" w:rsidRPr="00E779F0">
        <w:rPr>
          <w:sz w:val="20"/>
        </w:rPr>
        <w:t xml:space="preserve">M. C. Pascoe, S. E. Hetrick, and A. G. Parker, “The impact of stress on students in secondary school and higher education,” International Journal of Adolescence and Youth </w:t>
      </w:r>
      <w:r w:rsidR="00E779F0" w:rsidRPr="00E779F0">
        <w:rPr>
          <w:b/>
          <w:bCs/>
          <w:sz w:val="20"/>
        </w:rPr>
        <w:t>25</w:t>
      </w:r>
      <w:r w:rsidR="00E779F0" w:rsidRPr="00E779F0">
        <w:rPr>
          <w:sz w:val="20"/>
        </w:rPr>
        <w:t>, 104–112 (2020)</w:t>
      </w:r>
      <w:r w:rsidR="007676DA">
        <w:rPr>
          <w:sz w:val="20"/>
        </w:rPr>
        <w:t>.</w:t>
      </w:r>
      <w:r w:rsidR="00EC4CF0" w:rsidRPr="004F0CAF">
        <w:rPr>
          <w:sz w:val="20"/>
        </w:rPr>
        <w:t>3</w:t>
      </w:r>
    </w:p>
    <w:p w14:paraId="19711582" w14:textId="0425542B" w:rsidR="00EC4CF0" w:rsidRPr="004F0CAF" w:rsidRDefault="007676DA" w:rsidP="00C852D2">
      <w:pPr>
        <w:pStyle w:val="ListParagraph"/>
        <w:numPr>
          <w:ilvl w:val="0"/>
          <w:numId w:val="4"/>
        </w:numPr>
        <w:ind w:left="432" w:hanging="432"/>
        <w:contextualSpacing w:val="0"/>
        <w:jc w:val="both"/>
        <w:rPr>
          <w:sz w:val="20"/>
        </w:rPr>
      </w:pPr>
      <w:r w:rsidRPr="007676DA">
        <w:rPr>
          <w:noProof/>
          <w:sz w:val="20"/>
        </w:rPr>
        <w:t xml:space="preserve">V. Nikolić, D. Petković, N. Denić, M. Milovančević, and S. Gavrilović, “Appraisal and review of e-learning and ICT systems in teaching process,” Physica A: Statistical Mechanics and its Applications </w:t>
      </w:r>
      <w:r w:rsidRPr="007676DA">
        <w:rPr>
          <w:b/>
          <w:bCs/>
          <w:noProof/>
          <w:sz w:val="20"/>
        </w:rPr>
        <w:t>513</w:t>
      </w:r>
      <w:r w:rsidRPr="007676DA">
        <w:rPr>
          <w:noProof/>
          <w:sz w:val="20"/>
        </w:rPr>
        <w:t>, 456–464 (2019)</w:t>
      </w:r>
      <w:r w:rsidR="00EC4CF0" w:rsidRPr="004F0CAF">
        <w:rPr>
          <w:noProof/>
          <w:sz w:val="20"/>
        </w:rPr>
        <w:t>.</w:t>
      </w:r>
    </w:p>
    <w:p w14:paraId="2252DE17" w14:textId="79799099" w:rsidR="00EC4CF0" w:rsidRPr="004F0CAF" w:rsidRDefault="007676DA" w:rsidP="00C852D2">
      <w:pPr>
        <w:pStyle w:val="Reference"/>
        <w:numPr>
          <w:ilvl w:val="0"/>
          <w:numId w:val="4"/>
        </w:numPr>
        <w:ind w:left="432" w:hanging="432"/>
        <w:rPr>
          <w:noProof/>
        </w:rPr>
      </w:pPr>
      <w:r w:rsidRPr="007676DA">
        <w:rPr>
          <w:noProof/>
        </w:rPr>
        <w:t xml:space="preserve">A. Følstad and P. B. Brandtzaeg, “Chatbots and conversational agents: A bibliometric analysis of research trends,” Computers in Human Behavior </w:t>
      </w:r>
      <w:r w:rsidRPr="007676DA">
        <w:rPr>
          <w:b/>
          <w:bCs/>
          <w:noProof/>
        </w:rPr>
        <w:t>121</w:t>
      </w:r>
      <w:r w:rsidRPr="007676DA">
        <w:rPr>
          <w:noProof/>
        </w:rPr>
        <w:t>, 106–119 (2021)</w:t>
      </w:r>
      <w:r w:rsidR="00EC4CF0" w:rsidRPr="004F0CAF">
        <w:rPr>
          <w:noProof/>
        </w:rPr>
        <w:t>.</w:t>
      </w:r>
    </w:p>
    <w:p w14:paraId="601EE53B" w14:textId="3C574DC4" w:rsidR="00EC4CF0" w:rsidRPr="004F0CAF" w:rsidRDefault="00F40D50" w:rsidP="00C852D2">
      <w:pPr>
        <w:pStyle w:val="Reference"/>
        <w:numPr>
          <w:ilvl w:val="0"/>
          <w:numId w:val="4"/>
        </w:numPr>
        <w:ind w:left="432" w:hanging="432"/>
        <w:rPr>
          <w:noProof/>
        </w:rPr>
      </w:pPr>
      <w:r w:rsidRPr="00F40D50">
        <w:rPr>
          <w:noProof/>
        </w:rPr>
        <w:t xml:space="preserve">A. Schleicher, </w:t>
      </w:r>
      <w:r w:rsidRPr="00F40D50">
        <w:rPr>
          <w:i/>
          <w:iCs/>
          <w:noProof/>
        </w:rPr>
        <w:t>PISA 2018: Insights and Interpretations</w:t>
      </w:r>
      <w:r w:rsidRPr="00F40D50">
        <w:rPr>
          <w:noProof/>
        </w:rPr>
        <w:t xml:space="preserve"> (OECD, 2019)</w:t>
      </w:r>
      <w:r w:rsidR="00EC4CF0" w:rsidRPr="004F0CAF">
        <w:rPr>
          <w:i/>
          <w:iCs/>
          <w:noProof/>
        </w:rPr>
        <w:t>.</w:t>
      </w:r>
      <w:r w:rsidR="00EC4CF0" w:rsidRPr="004F0CAF">
        <w:rPr>
          <w:noProof/>
        </w:rPr>
        <w:t xml:space="preserve"> </w:t>
      </w:r>
    </w:p>
    <w:p w14:paraId="1C4CF036" w14:textId="3E285E00" w:rsidR="00EC4CF0" w:rsidRPr="004F0CAF" w:rsidRDefault="00F40D50" w:rsidP="00C852D2">
      <w:pPr>
        <w:pStyle w:val="Reference"/>
        <w:numPr>
          <w:ilvl w:val="0"/>
          <w:numId w:val="4"/>
        </w:numPr>
        <w:ind w:left="432" w:hanging="432"/>
        <w:rPr>
          <w:noProof/>
        </w:rPr>
      </w:pPr>
      <w:r w:rsidRPr="00F40D50">
        <w:rPr>
          <w:noProof/>
        </w:rPr>
        <w:lastRenderedPageBreak/>
        <w:t>D. E. Gonda, J. Luo, Y. L. Wong, and C. U. Lei, “Evaluation of developing educational chatbots based on the seven principles for good teaching,” in 2018 IEEE International Conference on Teaching, Assessment, and Learning for Engineering (IEEE, Wollongong, Australia, 2018), pp. 446–453</w:t>
      </w:r>
      <w:r>
        <w:rPr>
          <w:noProof/>
        </w:rPr>
        <w:t>.</w:t>
      </w:r>
    </w:p>
    <w:p w14:paraId="4EA8110C" w14:textId="5C71A106" w:rsidR="00EC4CF0" w:rsidRPr="004F0CAF" w:rsidRDefault="00563655" w:rsidP="00C852D2">
      <w:pPr>
        <w:pStyle w:val="Reference"/>
        <w:numPr>
          <w:ilvl w:val="0"/>
          <w:numId w:val="4"/>
        </w:numPr>
        <w:ind w:left="432" w:hanging="432"/>
        <w:rPr>
          <w:noProof/>
        </w:rPr>
      </w:pPr>
      <w:r w:rsidRPr="00563655">
        <w:rPr>
          <w:noProof/>
        </w:rPr>
        <w:t xml:space="preserve">D. Joubert and A. Al-Khouri, “Exploring the role of conversational agents in enhancing student learning and engagement,” Journal of Educational Technology </w:t>
      </w:r>
      <w:r w:rsidRPr="00563655">
        <w:rPr>
          <w:b/>
          <w:bCs/>
          <w:noProof/>
        </w:rPr>
        <w:t>42</w:t>
      </w:r>
      <w:r w:rsidRPr="00563655">
        <w:rPr>
          <w:noProof/>
        </w:rPr>
        <w:t>, 45–58 (2023)</w:t>
      </w:r>
      <w:r w:rsidR="00EC4CF0" w:rsidRPr="004F0CAF">
        <w:rPr>
          <w:noProof/>
        </w:rPr>
        <w:t>.</w:t>
      </w:r>
    </w:p>
    <w:p w14:paraId="20A2D380" w14:textId="5D0B7A54" w:rsidR="00EC4CF0" w:rsidRPr="004F0CAF" w:rsidRDefault="00563655" w:rsidP="00C852D2">
      <w:pPr>
        <w:pStyle w:val="Reference"/>
        <w:numPr>
          <w:ilvl w:val="0"/>
          <w:numId w:val="4"/>
        </w:numPr>
        <w:ind w:left="432" w:hanging="432"/>
        <w:rPr>
          <w:noProof/>
        </w:rPr>
      </w:pPr>
      <w:r w:rsidRPr="00563655">
        <w:rPr>
          <w:noProof/>
        </w:rPr>
        <w:t xml:space="preserve">R. Bogue, D. Smith, and C. Tully, “Personalized learning with conversational agents: A case study,” International Journal of Artificial Intelligence in Education </w:t>
      </w:r>
      <w:r w:rsidRPr="00563655">
        <w:rPr>
          <w:b/>
          <w:bCs/>
          <w:noProof/>
        </w:rPr>
        <w:t>30</w:t>
      </w:r>
      <w:r w:rsidRPr="00563655">
        <w:rPr>
          <w:noProof/>
        </w:rPr>
        <w:t>, 500–517 (2020)</w:t>
      </w:r>
      <w:r w:rsidR="00EC4CF0" w:rsidRPr="004F0CAF">
        <w:rPr>
          <w:noProof/>
        </w:rPr>
        <w:t>.</w:t>
      </w:r>
    </w:p>
    <w:p w14:paraId="21989CAF" w14:textId="6E2A301B" w:rsidR="00EC4CF0" w:rsidRPr="004F0CAF" w:rsidRDefault="0093597F" w:rsidP="00C852D2">
      <w:pPr>
        <w:pStyle w:val="Reference"/>
        <w:numPr>
          <w:ilvl w:val="0"/>
          <w:numId w:val="4"/>
        </w:numPr>
        <w:ind w:left="432" w:hanging="432"/>
        <w:rPr>
          <w:noProof/>
        </w:rPr>
      </w:pPr>
      <w:r w:rsidRPr="0093597F">
        <w:rPr>
          <w:noProof/>
        </w:rPr>
        <w:t xml:space="preserve">I. Dekker, E. M. de Jong, M. C. Schippers, M. de Bruijn-Smolders, A. Alexiou, and B. Giesbers, “Optimizing students’ mental health and academic performance: AI-enhanced life crafting,” Frontiers in Psychology </w:t>
      </w:r>
      <w:r w:rsidRPr="0093597F">
        <w:rPr>
          <w:b/>
          <w:bCs/>
          <w:noProof/>
        </w:rPr>
        <w:t>11</w:t>
      </w:r>
      <w:r w:rsidRPr="0093597F">
        <w:rPr>
          <w:noProof/>
        </w:rPr>
        <w:t>, 1–15 (2020)</w:t>
      </w:r>
      <w:r w:rsidR="00EC4CF0" w:rsidRPr="004F0CAF">
        <w:rPr>
          <w:noProof/>
        </w:rPr>
        <w:t>.</w:t>
      </w:r>
    </w:p>
    <w:p w14:paraId="5484977F" w14:textId="77777777" w:rsidR="002C0325" w:rsidRDefault="002C0325" w:rsidP="00C852D2">
      <w:pPr>
        <w:pStyle w:val="Reference"/>
        <w:numPr>
          <w:ilvl w:val="0"/>
          <w:numId w:val="4"/>
        </w:numPr>
        <w:ind w:left="432" w:hanging="432"/>
        <w:rPr>
          <w:noProof/>
        </w:rPr>
      </w:pPr>
      <w:r w:rsidRPr="002C0325">
        <w:rPr>
          <w:noProof/>
        </w:rPr>
        <w:t xml:space="preserve">T.-C. Hsu, H.-L. Huang, G.-J. Hwang, and M.-S. Chen, “Effects of incorporating an expert decision-making mechanism into chatbots on students’ achievement, enjoyment, and anxiety,” Educational Technology &amp; Society </w:t>
      </w:r>
      <w:r w:rsidRPr="002C0325">
        <w:rPr>
          <w:b/>
          <w:bCs/>
          <w:noProof/>
        </w:rPr>
        <w:t>26</w:t>
      </w:r>
      <w:r w:rsidRPr="002C0325">
        <w:rPr>
          <w:noProof/>
        </w:rPr>
        <w:t>, 218–231 (2023)</w:t>
      </w:r>
    </w:p>
    <w:p w14:paraId="32957469" w14:textId="6EA2F52B" w:rsidR="00EC4CF0" w:rsidRPr="004F0CAF" w:rsidRDefault="00304184" w:rsidP="00C852D2">
      <w:pPr>
        <w:pStyle w:val="Reference"/>
        <w:numPr>
          <w:ilvl w:val="0"/>
          <w:numId w:val="4"/>
        </w:numPr>
        <w:ind w:left="432" w:hanging="432"/>
        <w:rPr>
          <w:noProof/>
        </w:rPr>
      </w:pPr>
      <w:r w:rsidRPr="00304184">
        <w:rPr>
          <w:noProof/>
        </w:rPr>
        <w:t xml:space="preserve">S. Chai and P. Wong, “Conversational agents in STEM education: Enhancing learning experiences through AI-driven interactions,” International Journal of Artificial Intelligence in Education </w:t>
      </w:r>
      <w:r w:rsidRPr="00304184">
        <w:rPr>
          <w:b/>
          <w:bCs/>
          <w:noProof/>
        </w:rPr>
        <w:t>33</w:t>
      </w:r>
      <w:r w:rsidRPr="00304184">
        <w:rPr>
          <w:noProof/>
        </w:rPr>
        <w:t>, 125–139 (2023)</w:t>
      </w:r>
      <w:r w:rsidR="00EC4CF0" w:rsidRPr="004F0CAF">
        <w:rPr>
          <w:noProof/>
        </w:rPr>
        <w:t>.</w:t>
      </w:r>
    </w:p>
    <w:p w14:paraId="3AAEEE6B" w14:textId="77777777" w:rsidR="00304184" w:rsidRDefault="00304184" w:rsidP="00C852D2">
      <w:pPr>
        <w:pStyle w:val="Reference"/>
        <w:numPr>
          <w:ilvl w:val="0"/>
          <w:numId w:val="4"/>
        </w:numPr>
        <w:ind w:left="432" w:hanging="432"/>
        <w:rPr>
          <w:noProof/>
        </w:rPr>
      </w:pPr>
      <w:r w:rsidRPr="00304184">
        <w:rPr>
          <w:noProof/>
        </w:rPr>
        <w:t xml:space="preserve">S. Kelly, S.-A. Kaye, and O. Oviedo-Trespalacios, “What factors contribute to the acceptance of artificial intelligence? A systematic review,” Telematics and Informatics </w:t>
      </w:r>
      <w:r w:rsidRPr="00304184">
        <w:rPr>
          <w:b/>
          <w:bCs/>
          <w:noProof/>
        </w:rPr>
        <w:t>77</w:t>
      </w:r>
      <w:r w:rsidRPr="00304184">
        <w:rPr>
          <w:noProof/>
        </w:rPr>
        <w:t>, 101925 (2023)</w:t>
      </w:r>
    </w:p>
    <w:p w14:paraId="5A636BAC" w14:textId="77777777" w:rsidR="00432BDB" w:rsidRDefault="00304184" w:rsidP="00C852D2">
      <w:pPr>
        <w:pStyle w:val="Reference"/>
        <w:numPr>
          <w:ilvl w:val="0"/>
          <w:numId w:val="4"/>
        </w:numPr>
        <w:ind w:left="432" w:hanging="432"/>
        <w:rPr>
          <w:noProof/>
        </w:rPr>
      </w:pPr>
      <w:r w:rsidRPr="00304184">
        <w:rPr>
          <w:noProof/>
        </w:rPr>
        <w:t xml:space="preserve">L. Labadze, M. Grigolia, and L. Machaidze, “Role of AI chatbots in education: Systematic literature review,” International Journal of Educational Technology in Higher Education </w:t>
      </w:r>
      <w:r w:rsidRPr="00304184">
        <w:rPr>
          <w:b/>
          <w:bCs/>
          <w:noProof/>
        </w:rPr>
        <w:t>20</w:t>
      </w:r>
      <w:r w:rsidRPr="00304184">
        <w:rPr>
          <w:noProof/>
        </w:rPr>
        <w:t>, 56 (2023)</w:t>
      </w:r>
    </w:p>
    <w:p w14:paraId="712518D7" w14:textId="04E7DF2F" w:rsidR="00EC4CF0" w:rsidRPr="004F0CAF" w:rsidRDefault="00432BDB" w:rsidP="00C852D2">
      <w:pPr>
        <w:pStyle w:val="Reference"/>
        <w:numPr>
          <w:ilvl w:val="0"/>
          <w:numId w:val="4"/>
        </w:numPr>
        <w:ind w:left="432" w:hanging="432"/>
        <w:rPr>
          <w:noProof/>
        </w:rPr>
      </w:pPr>
      <w:r w:rsidRPr="00432BDB">
        <w:rPr>
          <w:noProof/>
        </w:rPr>
        <w:t xml:space="preserve">W. Li and J. Hsieh, “Students’ acceptance of chatbots in higher education: An extended technology acceptance model,” Computers in Human Behavior </w:t>
      </w:r>
      <w:r w:rsidRPr="00432BDB">
        <w:rPr>
          <w:b/>
          <w:bCs/>
          <w:noProof/>
        </w:rPr>
        <w:t>119</w:t>
      </w:r>
      <w:r w:rsidRPr="00432BDB">
        <w:rPr>
          <w:noProof/>
        </w:rPr>
        <w:t>, 106–119 (2022)</w:t>
      </w:r>
      <w:r w:rsidR="00EC4CF0" w:rsidRPr="004F0CAF">
        <w:rPr>
          <w:noProof/>
        </w:rPr>
        <w:t>.</w:t>
      </w:r>
    </w:p>
    <w:p w14:paraId="3736F148" w14:textId="6A762AD4" w:rsidR="00EC4CF0" w:rsidRPr="004F0CAF" w:rsidRDefault="00432BDB" w:rsidP="00C852D2">
      <w:pPr>
        <w:pStyle w:val="Reference"/>
        <w:numPr>
          <w:ilvl w:val="0"/>
          <w:numId w:val="4"/>
        </w:numPr>
        <w:ind w:left="432" w:hanging="432"/>
        <w:rPr>
          <w:noProof/>
        </w:rPr>
      </w:pPr>
      <w:r w:rsidRPr="00432BDB">
        <w:rPr>
          <w:noProof/>
        </w:rPr>
        <w:t xml:space="preserve">S. Han and M. K. Lee, “FAQ chatbot and inclusive learning in massive open online courses,” Computers and Education </w:t>
      </w:r>
      <w:r w:rsidRPr="00432BDB">
        <w:rPr>
          <w:b/>
          <w:bCs/>
          <w:noProof/>
        </w:rPr>
        <w:t>179</w:t>
      </w:r>
      <w:r w:rsidRPr="00432BDB">
        <w:rPr>
          <w:noProof/>
        </w:rPr>
        <w:t>, 104395 (2022)</w:t>
      </w:r>
      <w:r w:rsidR="00EC4CF0" w:rsidRPr="004F0CAF">
        <w:rPr>
          <w:noProof/>
        </w:rPr>
        <w:t xml:space="preserve"> </w:t>
      </w:r>
    </w:p>
    <w:p w14:paraId="51D336B0" w14:textId="6063A731" w:rsidR="00EC4CF0" w:rsidRPr="004F0CAF" w:rsidRDefault="00787EA8" w:rsidP="00C852D2">
      <w:pPr>
        <w:pStyle w:val="Reference"/>
        <w:numPr>
          <w:ilvl w:val="0"/>
          <w:numId w:val="4"/>
        </w:numPr>
        <w:ind w:left="432" w:hanging="432"/>
        <w:rPr>
          <w:noProof/>
        </w:rPr>
      </w:pPr>
      <w:r w:rsidRPr="00787EA8">
        <w:rPr>
          <w:noProof/>
        </w:rPr>
        <w:t xml:space="preserve">J. Q. Pérez, T. Daradoumis, and J. M. M. Puig, “Rediscovering the use of chatbots in education: A systematic literature review,” Computer Applications in Engineering Education </w:t>
      </w:r>
      <w:r w:rsidRPr="00787EA8">
        <w:rPr>
          <w:b/>
          <w:bCs/>
          <w:noProof/>
        </w:rPr>
        <w:t>28</w:t>
      </w:r>
      <w:r w:rsidRPr="00787EA8">
        <w:rPr>
          <w:noProof/>
        </w:rPr>
        <w:t>, 1549–1565 (2020)</w:t>
      </w:r>
      <w:r>
        <w:rPr>
          <w:noProof/>
        </w:rPr>
        <w:t>.</w:t>
      </w:r>
    </w:p>
    <w:p w14:paraId="76893A70" w14:textId="77777777" w:rsidR="008D4B21" w:rsidRDefault="00787EA8" w:rsidP="00C852D2">
      <w:pPr>
        <w:pStyle w:val="Reference"/>
        <w:numPr>
          <w:ilvl w:val="0"/>
          <w:numId w:val="4"/>
        </w:numPr>
        <w:ind w:left="432" w:hanging="432"/>
      </w:pPr>
      <w:r w:rsidRPr="00787EA8">
        <w:rPr>
          <w:noProof/>
        </w:rPr>
        <w:t xml:space="preserve">G.-J. Hwang and N.-S. Chen, “Exploring the potential of generative artificial intelligence in education: Applications, challenges, and future research directions,” Educational Technology &amp; Society </w:t>
      </w:r>
      <w:r w:rsidRPr="00787EA8">
        <w:rPr>
          <w:b/>
          <w:bCs/>
          <w:noProof/>
        </w:rPr>
        <w:t>26</w:t>
      </w:r>
      <w:r w:rsidRPr="00787EA8">
        <w:rPr>
          <w:noProof/>
        </w:rPr>
        <w:t>, 1–18 (2023)</w:t>
      </w:r>
    </w:p>
    <w:p w14:paraId="45FAB7C7" w14:textId="13B3695F" w:rsidR="00EC4CF0" w:rsidRDefault="008D4B21" w:rsidP="00C852D2">
      <w:pPr>
        <w:pStyle w:val="Reference"/>
        <w:numPr>
          <w:ilvl w:val="0"/>
          <w:numId w:val="4"/>
        </w:numPr>
        <w:ind w:left="432" w:hanging="432"/>
      </w:pPr>
      <w:r w:rsidRPr="008D4B21">
        <w:t xml:space="preserve">A. Kukulska-Hulme, C. Bossu, K. Charitonos, T. Coughlan, A. Deacon, N. Deane, R. Ferguson, C. Herodotou, C.-W. Huang, T. Mayisela, I. Rets, J. Sargent, E. Scanlon, J. Small, S. Walji, M. Weller, and D. Whitelock, </w:t>
      </w:r>
      <w:r w:rsidRPr="008D4B21">
        <w:rPr>
          <w:i/>
          <w:iCs/>
        </w:rPr>
        <w:t>Innovating Pedagogy 2023: Open University Innovation Report 11</w:t>
      </w:r>
      <w:r w:rsidRPr="008D4B21">
        <w:t xml:space="preserve"> (The Open University, Milton Keynes, 2023)</w:t>
      </w:r>
      <w:r>
        <w:t>.</w:t>
      </w:r>
    </w:p>
    <w:p w14:paraId="3E6937FE" w14:textId="780CB6D8" w:rsidR="00EC4CF0" w:rsidRPr="004F0CAF" w:rsidRDefault="00FE396B" w:rsidP="00C852D2">
      <w:pPr>
        <w:pStyle w:val="Reference"/>
        <w:numPr>
          <w:ilvl w:val="0"/>
          <w:numId w:val="4"/>
        </w:numPr>
        <w:ind w:left="432" w:hanging="432"/>
      </w:pPr>
      <w:r w:rsidRPr="00FE396B">
        <w:t>X. Wu, S. Li, H.-T. Wu, Z. Tao, and Y. Fang, “Does retrieval-augmented generation introduce unfairness in large language models? Evaluating fairness in retrieval-augmented generation systems,” in Proceedings of the 31st International Conference on Computational Linguistics (Association for Computational Linguistics, Abu Dhabi, UAE, 2025), pp. 10021–10036</w:t>
      </w:r>
      <w:r>
        <w:t>.</w:t>
      </w:r>
    </w:p>
    <w:p w14:paraId="6595D7EC" w14:textId="75CC19EB" w:rsidR="00EC4CF0" w:rsidRPr="004F0CAF" w:rsidRDefault="00FE396B" w:rsidP="00C852D2">
      <w:pPr>
        <w:pStyle w:val="Reference"/>
        <w:numPr>
          <w:ilvl w:val="0"/>
          <w:numId w:val="4"/>
        </w:numPr>
        <w:ind w:left="432" w:hanging="432"/>
        <w:rPr>
          <w:noProof/>
        </w:rPr>
      </w:pPr>
      <w:r w:rsidRPr="00FE396B">
        <w:rPr>
          <w:noProof/>
        </w:rPr>
        <w:t xml:space="preserve">Z. Cai, Q. Wang, and L. Chen, “Enhancing learning with conversational agents: A study on personalized explanations and concept clarification,” Journal of Educational Technology </w:t>
      </w:r>
      <w:r w:rsidRPr="00FE396B">
        <w:rPr>
          <w:b/>
          <w:bCs/>
          <w:noProof/>
        </w:rPr>
        <w:t>45</w:t>
      </w:r>
      <w:r w:rsidRPr="00FE396B">
        <w:rPr>
          <w:noProof/>
        </w:rPr>
        <w:t>, 123–137 (2022)</w:t>
      </w:r>
      <w:r>
        <w:rPr>
          <w:noProof/>
        </w:rPr>
        <w:t>.</w:t>
      </w:r>
    </w:p>
    <w:p w14:paraId="46A689C2" w14:textId="0B2DA49E" w:rsidR="0070099C" w:rsidRPr="0070099C" w:rsidRDefault="0070099C" w:rsidP="0070099C">
      <w:pPr>
        <w:pStyle w:val="Reference"/>
        <w:numPr>
          <w:ilvl w:val="0"/>
          <w:numId w:val="4"/>
        </w:numPr>
        <w:ind w:left="432" w:hanging="432"/>
        <w:rPr>
          <w:noProof/>
          <w:lang w:val="en-MY"/>
        </w:rPr>
      </w:pPr>
      <w:r w:rsidRPr="0070099C">
        <w:rPr>
          <w:noProof/>
          <w:lang w:val="en-MY"/>
        </w:rPr>
        <w:t xml:space="preserve">J. M. Spector and R. Huang, </w:t>
      </w:r>
      <w:r w:rsidRPr="0070099C">
        <w:rPr>
          <w:i/>
          <w:iCs/>
          <w:noProof/>
          <w:lang w:val="en-MY"/>
        </w:rPr>
        <w:t>Educational Technology: A Primer for the 21st Century</w:t>
      </w:r>
      <w:r w:rsidRPr="0070099C">
        <w:rPr>
          <w:noProof/>
          <w:lang w:val="en-MY"/>
        </w:rPr>
        <w:t xml:space="preserve"> (Springer, 2022).</w:t>
      </w:r>
    </w:p>
    <w:p w14:paraId="7DFFB655" w14:textId="004BDE23" w:rsidR="0070099C" w:rsidRPr="0070099C" w:rsidRDefault="0070099C" w:rsidP="0070099C">
      <w:pPr>
        <w:pStyle w:val="Reference"/>
        <w:numPr>
          <w:ilvl w:val="0"/>
          <w:numId w:val="4"/>
        </w:numPr>
        <w:ind w:left="432" w:hanging="432"/>
        <w:rPr>
          <w:noProof/>
          <w:lang w:val="en-MY"/>
        </w:rPr>
      </w:pPr>
      <w:r w:rsidRPr="0070099C">
        <w:rPr>
          <w:noProof/>
          <w:lang w:val="en-MY"/>
        </w:rPr>
        <w:t xml:space="preserve">P.-N. Chou and C.-H. Chen, “The impact of technology acceptance on learning outcomes: A study on the use of educational technology in higher education,” Journal of Educational Technology Development and Exchange </w:t>
      </w:r>
      <w:r w:rsidRPr="0070099C">
        <w:rPr>
          <w:b/>
          <w:bCs/>
          <w:noProof/>
          <w:lang w:val="en-MY"/>
        </w:rPr>
        <w:t>15</w:t>
      </w:r>
      <w:r w:rsidRPr="0070099C">
        <w:rPr>
          <w:noProof/>
          <w:lang w:val="en-MY"/>
        </w:rPr>
        <w:t>, 45–60 (2022).</w:t>
      </w:r>
    </w:p>
    <w:p w14:paraId="5602D96F" w14:textId="60DFAC11" w:rsidR="0070099C" w:rsidRPr="0070099C" w:rsidRDefault="0070099C" w:rsidP="0070099C">
      <w:pPr>
        <w:pStyle w:val="Reference"/>
        <w:numPr>
          <w:ilvl w:val="0"/>
          <w:numId w:val="4"/>
        </w:numPr>
        <w:ind w:left="432" w:hanging="432"/>
        <w:rPr>
          <w:noProof/>
          <w:lang w:val="en-MY"/>
        </w:rPr>
      </w:pPr>
      <w:r w:rsidRPr="0070099C">
        <w:rPr>
          <w:noProof/>
          <w:lang w:val="en-MY"/>
        </w:rPr>
        <w:t xml:space="preserve">T. Buchanan, X. Liu, and J. Lee, “The role of educational chatbots in enhancing student engagement and learning outcomes,” Educational Technology &amp; Society </w:t>
      </w:r>
      <w:r w:rsidRPr="0070099C">
        <w:rPr>
          <w:b/>
          <w:bCs/>
          <w:noProof/>
          <w:lang w:val="en-MY"/>
        </w:rPr>
        <w:t>23</w:t>
      </w:r>
      <w:r w:rsidRPr="0070099C">
        <w:rPr>
          <w:noProof/>
          <w:lang w:val="en-MY"/>
        </w:rPr>
        <w:t>, 45–56 (2020).</w:t>
      </w:r>
    </w:p>
    <w:p w14:paraId="465C4939" w14:textId="7FD8FEC9" w:rsidR="0070099C" w:rsidRPr="0070099C" w:rsidRDefault="0070099C" w:rsidP="0070099C">
      <w:pPr>
        <w:pStyle w:val="Reference"/>
        <w:numPr>
          <w:ilvl w:val="0"/>
          <w:numId w:val="4"/>
        </w:numPr>
        <w:ind w:left="432" w:hanging="432"/>
        <w:rPr>
          <w:noProof/>
          <w:lang w:val="en-MY"/>
        </w:rPr>
      </w:pPr>
      <w:r w:rsidRPr="0070099C">
        <w:rPr>
          <w:noProof/>
          <w:lang w:val="en-MY"/>
        </w:rPr>
        <w:t xml:space="preserve">Y. Zhao, X. Liu, and J. Zhang, “Gender differences in attitudes towards AI-based learning tools: A comparative study,” Computers and Education </w:t>
      </w:r>
      <w:r w:rsidRPr="0070099C">
        <w:rPr>
          <w:b/>
          <w:bCs/>
          <w:noProof/>
          <w:lang w:val="en-MY"/>
        </w:rPr>
        <w:t>168</w:t>
      </w:r>
      <w:r w:rsidRPr="0070099C">
        <w:rPr>
          <w:noProof/>
          <w:lang w:val="en-MY"/>
        </w:rPr>
        <w:t>, 104213 (2021).</w:t>
      </w:r>
    </w:p>
    <w:p w14:paraId="5D71D7A3" w14:textId="42B35377" w:rsidR="0070099C" w:rsidRPr="0070099C" w:rsidRDefault="0070099C" w:rsidP="0070099C">
      <w:pPr>
        <w:pStyle w:val="Reference"/>
        <w:numPr>
          <w:ilvl w:val="0"/>
          <w:numId w:val="4"/>
        </w:numPr>
        <w:ind w:left="432" w:hanging="432"/>
        <w:rPr>
          <w:noProof/>
          <w:lang w:val="en-MY"/>
        </w:rPr>
      </w:pPr>
      <w:r w:rsidRPr="0070099C">
        <w:rPr>
          <w:noProof/>
          <w:lang w:val="en-MY"/>
        </w:rPr>
        <w:t xml:space="preserve">Y. Liu and X. Li, “Gender differences in perceptions of AI-based educational tools: A comparative analysis,” Computers and Education </w:t>
      </w:r>
      <w:r w:rsidRPr="0070099C">
        <w:rPr>
          <w:b/>
          <w:bCs/>
          <w:noProof/>
          <w:lang w:val="en-MY"/>
        </w:rPr>
        <w:t>172</w:t>
      </w:r>
      <w:r w:rsidRPr="0070099C">
        <w:rPr>
          <w:noProof/>
          <w:lang w:val="en-MY"/>
        </w:rPr>
        <w:t>, 104321 (2023).</w:t>
      </w:r>
    </w:p>
    <w:p w14:paraId="736A7070" w14:textId="7495CC2D" w:rsidR="0070099C" w:rsidRPr="0070099C" w:rsidRDefault="0070099C" w:rsidP="0070099C">
      <w:pPr>
        <w:pStyle w:val="Reference"/>
        <w:numPr>
          <w:ilvl w:val="0"/>
          <w:numId w:val="4"/>
        </w:numPr>
        <w:ind w:left="432" w:hanging="432"/>
        <w:rPr>
          <w:noProof/>
          <w:lang w:val="en-MY"/>
        </w:rPr>
      </w:pPr>
      <w:r w:rsidRPr="0070099C">
        <w:rPr>
          <w:noProof/>
          <w:lang w:val="en-MY"/>
        </w:rPr>
        <w:t xml:space="preserve">J. Lee, S. Kim, and H. Park, “Gender differences in the use of conversational agents for problem-solving tasks,” Journal of Educational Technology </w:t>
      </w:r>
      <w:r w:rsidRPr="0070099C">
        <w:rPr>
          <w:b/>
          <w:bCs/>
          <w:noProof/>
          <w:lang w:val="en-MY"/>
        </w:rPr>
        <w:t>38</w:t>
      </w:r>
      <w:r w:rsidRPr="0070099C">
        <w:rPr>
          <w:noProof/>
          <w:lang w:val="en-MY"/>
        </w:rPr>
        <w:t>, 215–230 (2022).</w:t>
      </w:r>
    </w:p>
    <w:p w14:paraId="55686BED" w14:textId="31C6D348" w:rsidR="0070099C" w:rsidRPr="0070099C" w:rsidRDefault="0070099C" w:rsidP="0070099C">
      <w:pPr>
        <w:pStyle w:val="Reference"/>
        <w:numPr>
          <w:ilvl w:val="0"/>
          <w:numId w:val="4"/>
        </w:numPr>
        <w:ind w:left="432" w:hanging="432"/>
        <w:rPr>
          <w:noProof/>
          <w:lang w:val="en-MY"/>
        </w:rPr>
      </w:pPr>
      <w:r w:rsidRPr="0070099C">
        <w:rPr>
          <w:noProof/>
          <w:lang w:val="en-MY"/>
        </w:rPr>
        <w:t xml:space="preserve">H. Park and J. Kim, “AI capabilities and competitive advantage: Evidence from technology industries,” Strategic Management Journal </w:t>
      </w:r>
      <w:r w:rsidRPr="0070099C">
        <w:rPr>
          <w:b/>
          <w:bCs/>
          <w:noProof/>
          <w:lang w:val="en-MY"/>
        </w:rPr>
        <w:t>44</w:t>
      </w:r>
      <w:r w:rsidRPr="0070099C">
        <w:rPr>
          <w:noProof/>
          <w:lang w:val="en-MY"/>
        </w:rPr>
        <w:t>, 922–947 (2023).</w:t>
      </w:r>
    </w:p>
    <w:p w14:paraId="22014B06" w14:textId="33A45197" w:rsidR="0070099C" w:rsidRPr="0070099C" w:rsidRDefault="0070099C" w:rsidP="0070099C">
      <w:pPr>
        <w:pStyle w:val="Reference"/>
        <w:numPr>
          <w:ilvl w:val="0"/>
          <w:numId w:val="4"/>
        </w:numPr>
        <w:ind w:left="432" w:hanging="432"/>
        <w:rPr>
          <w:noProof/>
          <w:lang w:val="en-MY"/>
        </w:rPr>
      </w:pPr>
      <w:r w:rsidRPr="0070099C">
        <w:rPr>
          <w:noProof/>
          <w:lang w:val="en-MY"/>
        </w:rPr>
        <w:t>D. Rao, X. Miao, Z. Jiang, and R. Li, “STANKER: Stacking network based on level-grained attention-masked BERT for rumor detection on social media,” in Proceedings of the 2021 Conference on Empirical Methods in Natural Language Processing (Association for Computational Linguistics, Punta Cana, 2021), pp. 3347–3363.</w:t>
      </w:r>
    </w:p>
    <w:p w14:paraId="26A7FC8C" w14:textId="41DADEEE" w:rsidR="0070099C" w:rsidRPr="0070099C" w:rsidRDefault="0070099C" w:rsidP="0070099C">
      <w:pPr>
        <w:pStyle w:val="Reference"/>
        <w:numPr>
          <w:ilvl w:val="0"/>
          <w:numId w:val="4"/>
        </w:numPr>
        <w:ind w:left="432" w:hanging="432"/>
        <w:rPr>
          <w:noProof/>
          <w:lang w:val="en-MY"/>
        </w:rPr>
      </w:pPr>
      <w:r w:rsidRPr="0070099C">
        <w:rPr>
          <w:noProof/>
          <w:lang w:val="en-MY"/>
        </w:rPr>
        <w:t xml:space="preserve">Q. Zhou, J. Ma, Q. Liu, C. Wu, Z. Yang, T. Yang, Q. Chen, Y. Yue, and J. Shang, “Traditional Chinese medicine formula, Sanwujiao granule, attenuates ischemic stroke by promoting angiogenesis through early administration,” Journal of Ethnopharmacology </w:t>
      </w:r>
      <w:r w:rsidRPr="0070099C">
        <w:rPr>
          <w:b/>
          <w:bCs/>
          <w:noProof/>
          <w:lang w:val="en-MY"/>
        </w:rPr>
        <w:t>321</w:t>
      </w:r>
      <w:r w:rsidRPr="0070099C">
        <w:rPr>
          <w:noProof/>
          <w:lang w:val="en-MY"/>
        </w:rPr>
        <w:t>, 117418 (2023).</w:t>
      </w:r>
    </w:p>
    <w:p w14:paraId="159058C2" w14:textId="04A71879" w:rsidR="0070099C" w:rsidRPr="0070099C" w:rsidRDefault="0070099C" w:rsidP="0070099C">
      <w:pPr>
        <w:pStyle w:val="Reference"/>
        <w:numPr>
          <w:ilvl w:val="0"/>
          <w:numId w:val="4"/>
        </w:numPr>
        <w:ind w:left="432" w:hanging="432"/>
        <w:rPr>
          <w:noProof/>
          <w:lang w:val="en-MY"/>
        </w:rPr>
      </w:pPr>
      <w:r w:rsidRPr="0070099C">
        <w:rPr>
          <w:noProof/>
          <w:lang w:val="en-MY"/>
        </w:rPr>
        <w:lastRenderedPageBreak/>
        <w:t>L. Huang, X. Feng, W. Ma, Y. Gu, W. Zhong, X. Feng, W. Yu, P. Peng, D. Tang, D. Tu, and B. Qin, “Learning fine-grained grounded citations for attributed large language models,” in Findings of the Association for Computational Linguistics: ACL 2024 (Association for Computational Linguistics, Bangkok, Thailand, 2024), pp. 14095–14113.</w:t>
      </w:r>
    </w:p>
    <w:p w14:paraId="5DA9D268" w14:textId="19627C6D" w:rsidR="0070099C" w:rsidRPr="0070099C" w:rsidRDefault="0070099C" w:rsidP="0070099C">
      <w:pPr>
        <w:pStyle w:val="Reference"/>
        <w:numPr>
          <w:ilvl w:val="0"/>
          <w:numId w:val="4"/>
        </w:numPr>
        <w:ind w:left="432" w:hanging="432"/>
        <w:rPr>
          <w:noProof/>
          <w:lang w:val="en-MY"/>
        </w:rPr>
      </w:pPr>
      <w:r w:rsidRPr="0070099C">
        <w:rPr>
          <w:noProof/>
          <w:lang w:val="en-MY"/>
        </w:rPr>
        <w:t>R. G. P. Galluccio, “Animated pedagogical agents as Spanish student performance, motivation, and appearance, and type of activity on language instructors: Effect of accent, perception of agent,” Ph.D. dissertation, The Florida State University (2008).</w:t>
      </w:r>
    </w:p>
    <w:p w14:paraId="56F9C801" w14:textId="724C2A5A" w:rsidR="0070099C" w:rsidRPr="0070099C" w:rsidRDefault="0070099C" w:rsidP="0070099C">
      <w:pPr>
        <w:pStyle w:val="Reference"/>
        <w:numPr>
          <w:ilvl w:val="0"/>
          <w:numId w:val="4"/>
        </w:numPr>
        <w:ind w:left="432" w:hanging="432"/>
        <w:rPr>
          <w:noProof/>
          <w:lang w:val="en-MY"/>
        </w:rPr>
      </w:pPr>
      <w:r w:rsidRPr="0070099C">
        <w:rPr>
          <w:noProof/>
          <w:lang w:val="en-MY"/>
        </w:rPr>
        <w:t>W. Yeo, “Reducing anxiety level in mathematics learning using pedagogical agent,” Ph.D. dissertation, Multimedia University, Malaysia (2016).</w:t>
      </w:r>
    </w:p>
    <w:p w14:paraId="477AC19A" w14:textId="6F01A6D8" w:rsidR="0070099C" w:rsidRPr="0070099C" w:rsidRDefault="0070099C" w:rsidP="0070099C">
      <w:pPr>
        <w:pStyle w:val="Reference"/>
        <w:numPr>
          <w:ilvl w:val="0"/>
          <w:numId w:val="4"/>
        </w:numPr>
        <w:ind w:left="432" w:hanging="432"/>
        <w:rPr>
          <w:noProof/>
          <w:lang w:val="en-MY"/>
        </w:rPr>
      </w:pPr>
      <w:r w:rsidRPr="0070099C">
        <w:rPr>
          <w:noProof/>
          <w:lang w:val="en-MY"/>
        </w:rPr>
        <w:t xml:space="preserve">Y. M. Yusoff, Z. Muhammad, M. S. M. Zahari, E. S. Pasah, and E. Robert, “Individual differences, perceived ease of use, and perceived usefulness in the E-library usage,” Computer and Information Science </w:t>
      </w:r>
      <w:r w:rsidRPr="0070099C">
        <w:rPr>
          <w:b/>
          <w:bCs/>
          <w:noProof/>
          <w:lang w:val="en-MY"/>
        </w:rPr>
        <w:t>2</w:t>
      </w:r>
      <w:r w:rsidRPr="0070099C">
        <w:rPr>
          <w:noProof/>
          <w:lang w:val="en-MY"/>
        </w:rPr>
        <w:t>, 76–83 (2009).</w:t>
      </w:r>
    </w:p>
    <w:p w14:paraId="4B6218B8" w14:textId="2D6A98E4" w:rsidR="0070099C" w:rsidRPr="0070099C" w:rsidRDefault="0070099C" w:rsidP="0070099C">
      <w:pPr>
        <w:pStyle w:val="Reference"/>
        <w:numPr>
          <w:ilvl w:val="0"/>
          <w:numId w:val="4"/>
        </w:numPr>
        <w:ind w:left="432" w:hanging="432"/>
        <w:rPr>
          <w:noProof/>
          <w:lang w:val="en-MY"/>
        </w:rPr>
      </w:pPr>
      <w:r w:rsidRPr="0070099C">
        <w:rPr>
          <w:noProof/>
          <w:lang w:val="en-MY"/>
        </w:rPr>
        <w:t>P. Reagen, “The importance of identifying the right sample size for business improvement,” (Leanscape, 2023).</w:t>
      </w:r>
    </w:p>
    <w:p w14:paraId="0D5B3AA4" w14:textId="6D78365F" w:rsidR="0070099C" w:rsidRPr="0070099C" w:rsidRDefault="0070099C" w:rsidP="0070099C">
      <w:pPr>
        <w:pStyle w:val="Reference"/>
        <w:numPr>
          <w:ilvl w:val="0"/>
          <w:numId w:val="4"/>
        </w:numPr>
        <w:ind w:left="432" w:hanging="432"/>
        <w:rPr>
          <w:noProof/>
          <w:lang w:val="en-MY"/>
        </w:rPr>
      </w:pPr>
      <w:r w:rsidRPr="0070099C">
        <w:rPr>
          <w:noProof/>
          <w:lang w:val="en-MY"/>
        </w:rPr>
        <w:t xml:space="preserve">J. C. F. de Winter, “Using the student’s t-test with extremely small sample sizes,” Practical Assessment, Research &amp; Evaluation </w:t>
      </w:r>
      <w:r w:rsidRPr="0070099C">
        <w:rPr>
          <w:b/>
          <w:bCs/>
          <w:noProof/>
          <w:lang w:val="en-MY"/>
        </w:rPr>
        <w:t>18</w:t>
      </w:r>
      <w:r w:rsidRPr="0070099C">
        <w:rPr>
          <w:noProof/>
          <w:lang w:val="en-MY"/>
        </w:rPr>
        <w:t>, 1–12 (2013).</w:t>
      </w:r>
    </w:p>
    <w:p w14:paraId="7FE5595A" w14:textId="37CAC8A8" w:rsidR="0070099C" w:rsidRPr="0070099C" w:rsidRDefault="0070099C" w:rsidP="0070099C">
      <w:pPr>
        <w:pStyle w:val="Reference"/>
        <w:numPr>
          <w:ilvl w:val="0"/>
          <w:numId w:val="4"/>
        </w:numPr>
        <w:ind w:left="432" w:hanging="432"/>
        <w:rPr>
          <w:noProof/>
          <w:lang w:val="en-MY"/>
        </w:rPr>
      </w:pPr>
      <w:r w:rsidRPr="0070099C">
        <w:rPr>
          <w:noProof/>
          <w:lang w:val="en-MY"/>
        </w:rPr>
        <w:t xml:space="preserve">D. George and P. Mallery, </w:t>
      </w:r>
      <w:r w:rsidRPr="0070099C">
        <w:rPr>
          <w:i/>
          <w:iCs/>
          <w:noProof/>
          <w:lang w:val="en-MY"/>
        </w:rPr>
        <w:t>IBM SPSS Statistics 29 Step by Step: A Simple Guide and Reference</w:t>
      </w:r>
      <w:r w:rsidRPr="0070099C">
        <w:rPr>
          <w:noProof/>
          <w:lang w:val="en-MY"/>
        </w:rPr>
        <w:t>, 18th ed. (Taylor &amp; Francis, 2024).</w:t>
      </w:r>
    </w:p>
    <w:p w14:paraId="1CA1BF3E" w14:textId="7980AF77" w:rsidR="0070099C" w:rsidRPr="0070099C" w:rsidRDefault="0070099C" w:rsidP="0070099C">
      <w:pPr>
        <w:pStyle w:val="Reference"/>
        <w:numPr>
          <w:ilvl w:val="0"/>
          <w:numId w:val="4"/>
        </w:numPr>
        <w:ind w:left="432" w:hanging="432"/>
        <w:rPr>
          <w:noProof/>
          <w:lang w:val="en-MY"/>
        </w:rPr>
      </w:pPr>
      <w:r w:rsidRPr="0070099C">
        <w:rPr>
          <w:noProof/>
          <w:lang w:val="en-MY"/>
        </w:rPr>
        <w:t xml:space="preserve">J. R. Fraenkel and N. E. Wallen, </w:t>
      </w:r>
      <w:r w:rsidRPr="0070099C">
        <w:rPr>
          <w:i/>
          <w:iCs/>
          <w:noProof/>
          <w:lang w:val="en-MY"/>
        </w:rPr>
        <w:t>How to Design and Evaluate Research in Education</w:t>
      </w:r>
      <w:r w:rsidRPr="0070099C">
        <w:rPr>
          <w:noProof/>
          <w:lang w:val="en-MY"/>
        </w:rPr>
        <w:t>, 10th ed. (McGraw-Hill Education, 2020).</w:t>
      </w:r>
    </w:p>
    <w:p w14:paraId="04327695" w14:textId="58D871A6" w:rsidR="0070099C" w:rsidRPr="0070099C" w:rsidRDefault="0070099C" w:rsidP="0070099C">
      <w:pPr>
        <w:pStyle w:val="Reference"/>
        <w:numPr>
          <w:ilvl w:val="0"/>
          <w:numId w:val="4"/>
        </w:numPr>
        <w:ind w:left="432" w:hanging="432"/>
        <w:rPr>
          <w:noProof/>
          <w:lang w:val="en-MY"/>
        </w:rPr>
      </w:pPr>
      <w:r w:rsidRPr="0070099C">
        <w:rPr>
          <w:noProof/>
          <w:lang w:val="en-MY"/>
        </w:rPr>
        <w:t xml:space="preserve">A. P. Field, </w:t>
      </w:r>
      <w:r w:rsidRPr="0070099C">
        <w:rPr>
          <w:i/>
          <w:iCs/>
          <w:noProof/>
          <w:lang w:val="en-MY"/>
        </w:rPr>
        <w:t>Discovering Statistics Using IBM SPSS Statistics</w:t>
      </w:r>
      <w:r w:rsidRPr="0070099C">
        <w:rPr>
          <w:noProof/>
          <w:lang w:val="en-MY"/>
        </w:rPr>
        <w:t>, 5th ed. (SAGE Publications, London, 2018).</w:t>
      </w:r>
    </w:p>
    <w:p w14:paraId="1EFBE96E" w14:textId="028CCC3E" w:rsidR="0070099C" w:rsidRPr="0070099C" w:rsidRDefault="0070099C" w:rsidP="0070099C">
      <w:pPr>
        <w:pStyle w:val="Reference"/>
        <w:numPr>
          <w:ilvl w:val="0"/>
          <w:numId w:val="4"/>
        </w:numPr>
        <w:ind w:left="432" w:hanging="432"/>
        <w:rPr>
          <w:noProof/>
          <w:lang w:val="en-MY"/>
        </w:rPr>
      </w:pPr>
      <w:r w:rsidRPr="0070099C">
        <w:rPr>
          <w:noProof/>
          <w:lang w:val="en-MY"/>
        </w:rPr>
        <w:t>I. Scarpellini and Y. Lim, “Role-based design of conversational agents: Approach and tools,” in HCI International 2020 – Late Breaking Posters (Springer, 2020), pp. 366–375.</w:t>
      </w:r>
    </w:p>
    <w:p w14:paraId="4136D663" w14:textId="6E841F51" w:rsidR="0070099C" w:rsidRPr="0070099C" w:rsidRDefault="0070099C" w:rsidP="0070099C">
      <w:pPr>
        <w:pStyle w:val="Reference"/>
        <w:numPr>
          <w:ilvl w:val="0"/>
          <w:numId w:val="4"/>
        </w:numPr>
        <w:ind w:left="432" w:hanging="432"/>
        <w:rPr>
          <w:noProof/>
          <w:lang w:val="en-MY"/>
        </w:rPr>
      </w:pPr>
      <w:r w:rsidRPr="0070099C">
        <w:rPr>
          <w:noProof/>
          <w:lang w:val="en-MY"/>
        </w:rPr>
        <w:t xml:space="preserve">E. Fleisch, C. Franz, and A. Herrmann, </w:t>
      </w:r>
      <w:r w:rsidRPr="0070099C">
        <w:rPr>
          <w:i/>
          <w:iCs/>
          <w:noProof/>
          <w:lang w:val="en-MY"/>
        </w:rPr>
        <w:t>The Digital Pill: What Everyone Should Know About the Future of Our Healthcare System</w:t>
      </w:r>
      <w:r w:rsidRPr="0070099C">
        <w:rPr>
          <w:noProof/>
          <w:lang w:val="en-MY"/>
        </w:rPr>
        <w:t xml:space="preserve"> (Emerald Publishing, 2021).</w:t>
      </w:r>
    </w:p>
    <w:p w14:paraId="6FCB5AFF" w14:textId="5DB25A7E" w:rsidR="0070099C" w:rsidRPr="0070099C" w:rsidRDefault="0070099C" w:rsidP="0070099C">
      <w:pPr>
        <w:pStyle w:val="Reference"/>
        <w:numPr>
          <w:ilvl w:val="0"/>
          <w:numId w:val="4"/>
        </w:numPr>
        <w:ind w:left="432" w:hanging="432"/>
        <w:rPr>
          <w:noProof/>
          <w:lang w:val="en-MY"/>
        </w:rPr>
      </w:pPr>
      <w:r w:rsidRPr="0070099C">
        <w:rPr>
          <w:noProof/>
          <w:lang w:val="en-MY"/>
        </w:rPr>
        <w:t xml:space="preserve">C. Strohmann, “Stereoselective synthesis of cyclobutanes by contraction of pyrrolidines,” Journal of the American Chemical Society </w:t>
      </w:r>
      <w:r w:rsidRPr="0070099C">
        <w:rPr>
          <w:b/>
          <w:bCs/>
          <w:noProof/>
          <w:lang w:val="en-MY"/>
        </w:rPr>
        <w:t>143</w:t>
      </w:r>
      <w:r w:rsidRPr="0070099C">
        <w:rPr>
          <w:noProof/>
          <w:lang w:val="en-MY"/>
        </w:rPr>
        <w:t>, 18864–18870 (2021).</w:t>
      </w:r>
    </w:p>
    <w:p w14:paraId="676EC9F7" w14:textId="1E466C1E" w:rsidR="0070099C" w:rsidRPr="0070099C" w:rsidRDefault="0070099C" w:rsidP="0070099C">
      <w:pPr>
        <w:pStyle w:val="Reference"/>
        <w:numPr>
          <w:ilvl w:val="0"/>
          <w:numId w:val="4"/>
        </w:numPr>
        <w:ind w:left="432" w:hanging="432"/>
        <w:rPr>
          <w:noProof/>
          <w:lang w:val="en-MY"/>
        </w:rPr>
      </w:pPr>
      <w:r w:rsidRPr="0070099C">
        <w:rPr>
          <w:noProof/>
          <w:lang w:val="en-MY"/>
        </w:rPr>
        <w:t xml:space="preserve">S. E. Nißen, K. Wolski, L. Cho, et al., “Lipoprotein(a) levels in a global population with established atherosclerotic cardiovascular disease,” Open Heart </w:t>
      </w:r>
      <w:r w:rsidRPr="0070099C">
        <w:rPr>
          <w:b/>
          <w:bCs/>
          <w:noProof/>
          <w:lang w:val="en-MY"/>
        </w:rPr>
        <w:t>9</w:t>
      </w:r>
      <w:r w:rsidRPr="0070099C">
        <w:rPr>
          <w:noProof/>
          <w:lang w:val="en-MY"/>
        </w:rPr>
        <w:t>, e002060 (2022).</w:t>
      </w:r>
    </w:p>
    <w:p w14:paraId="20470723" w14:textId="0EAE744C" w:rsidR="0070099C" w:rsidRPr="0070099C" w:rsidRDefault="0070099C" w:rsidP="0070099C">
      <w:pPr>
        <w:pStyle w:val="Reference"/>
        <w:numPr>
          <w:ilvl w:val="0"/>
          <w:numId w:val="4"/>
        </w:numPr>
        <w:ind w:left="432" w:hanging="432"/>
        <w:rPr>
          <w:noProof/>
          <w:lang w:val="en-MY"/>
        </w:rPr>
      </w:pPr>
      <w:r w:rsidRPr="0070099C">
        <w:rPr>
          <w:noProof/>
          <w:lang w:val="en-MY"/>
        </w:rPr>
        <w:t xml:space="preserve">W. Huang, K. F. Hew, and L. K. Fryer, “Chatbots for language learning—Are they really useful? A systematic review of chatbot-supported language learning,” Journal of Computer Assisted Learning </w:t>
      </w:r>
      <w:r w:rsidRPr="0070099C">
        <w:rPr>
          <w:b/>
          <w:bCs/>
          <w:noProof/>
          <w:lang w:val="en-MY"/>
        </w:rPr>
        <w:t>38</w:t>
      </w:r>
      <w:r w:rsidRPr="0070099C">
        <w:rPr>
          <w:noProof/>
          <w:lang w:val="en-MY"/>
        </w:rPr>
        <w:t>, 237–257 (2022).</w:t>
      </w:r>
    </w:p>
    <w:p w14:paraId="5FE98D99" w14:textId="55B04054" w:rsidR="0070099C" w:rsidRPr="0070099C" w:rsidRDefault="0070099C" w:rsidP="0070099C">
      <w:pPr>
        <w:pStyle w:val="Reference"/>
        <w:numPr>
          <w:ilvl w:val="0"/>
          <w:numId w:val="4"/>
        </w:numPr>
        <w:ind w:left="432" w:hanging="432"/>
        <w:rPr>
          <w:noProof/>
          <w:lang w:val="en-MY"/>
        </w:rPr>
      </w:pPr>
      <w:r w:rsidRPr="0070099C">
        <w:rPr>
          <w:noProof/>
          <w:lang w:val="en-MY"/>
        </w:rPr>
        <w:t xml:space="preserve">OECD, </w:t>
      </w:r>
      <w:r w:rsidRPr="0070099C">
        <w:rPr>
          <w:i/>
          <w:iCs/>
          <w:noProof/>
          <w:lang w:val="en-MY"/>
        </w:rPr>
        <w:t>Gender, Education and Skills: The Persistence of Gender Gaps in Education and Skills</w:t>
      </w:r>
      <w:r w:rsidRPr="0070099C">
        <w:rPr>
          <w:noProof/>
          <w:lang w:val="en-MY"/>
        </w:rPr>
        <w:t xml:space="preserve"> (OECD Publishing, 2023).</w:t>
      </w:r>
    </w:p>
    <w:p w14:paraId="1DEA1627" w14:textId="65A0C39C" w:rsidR="0070099C" w:rsidRPr="0070099C" w:rsidRDefault="0070099C" w:rsidP="0070099C">
      <w:pPr>
        <w:pStyle w:val="Reference"/>
        <w:numPr>
          <w:ilvl w:val="0"/>
          <w:numId w:val="4"/>
        </w:numPr>
        <w:ind w:left="432" w:hanging="432"/>
        <w:rPr>
          <w:noProof/>
          <w:lang w:val="en-MY"/>
        </w:rPr>
      </w:pPr>
      <w:r w:rsidRPr="0070099C">
        <w:rPr>
          <w:noProof/>
          <w:lang w:val="en-MY"/>
        </w:rPr>
        <w:t xml:space="preserve">X. Li and Y. Xing, “The impact of conversational agents on mathematics anxiety and attitudes,” Journal of Educational Technology </w:t>
      </w:r>
      <w:r w:rsidRPr="0070099C">
        <w:rPr>
          <w:b/>
          <w:bCs/>
          <w:noProof/>
          <w:lang w:val="en-MY"/>
        </w:rPr>
        <w:t>45</w:t>
      </w:r>
      <w:r w:rsidRPr="0070099C">
        <w:rPr>
          <w:noProof/>
          <w:lang w:val="en-MY"/>
        </w:rPr>
        <w:t>, 123–135 (2022).</w:t>
      </w:r>
    </w:p>
    <w:p w14:paraId="161D05E7" w14:textId="637D237E" w:rsidR="00860532" w:rsidRDefault="0070099C" w:rsidP="008905A8">
      <w:pPr>
        <w:pStyle w:val="Reference"/>
        <w:numPr>
          <w:ilvl w:val="0"/>
          <w:numId w:val="4"/>
        </w:numPr>
        <w:ind w:left="432" w:hanging="432"/>
        <w:rPr>
          <w:noProof/>
        </w:rPr>
      </w:pPr>
      <w:r w:rsidRPr="0070099C">
        <w:rPr>
          <w:noProof/>
          <w:lang w:val="en-MY"/>
        </w:rPr>
        <w:t>J. Choi, S. Kim, Y. Jeong, Y. Gwon, and S. Yoon, “ILVR: Conditioning method for denoising diffusion probabilistic models,” arXiv:2108.02938 (2021)</w:t>
      </w:r>
    </w:p>
    <w:p w14:paraId="049F8D52" w14:textId="20EE95A4" w:rsidR="004D601C" w:rsidRPr="00355017" w:rsidRDefault="003E0C4A" w:rsidP="00C224D1">
      <w:pPr>
        <w:pStyle w:val="Reference"/>
        <w:numPr>
          <w:ilvl w:val="0"/>
          <w:numId w:val="0"/>
        </w:numPr>
        <w:ind w:left="432"/>
        <w:rPr>
          <w:vanish/>
        </w:rPr>
      </w:pPr>
      <w:r w:rsidRPr="004F0CAF">
        <w:fldChar w:fldCharType="end"/>
      </w:r>
    </w:p>
    <w:sectPr w:rsidR="004D601C" w:rsidRPr="00355017" w:rsidSect="00726B2B">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DA122F"/>
    <w:multiLevelType w:val="hybridMultilevel"/>
    <w:tmpl w:val="53544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779223813">
    <w:abstractNumId w:val="2"/>
  </w:num>
  <w:num w:numId="2" w16cid:durableId="1144665857">
    <w:abstractNumId w:val="1"/>
  </w:num>
  <w:num w:numId="3" w16cid:durableId="503979680">
    <w:abstractNumId w:val="4"/>
  </w:num>
  <w:num w:numId="4" w16cid:durableId="165055640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2141"/>
    <w:rsid w:val="00003B0A"/>
    <w:rsid w:val="00003D7C"/>
    <w:rsid w:val="000109F7"/>
    <w:rsid w:val="00012CDC"/>
    <w:rsid w:val="000133FF"/>
    <w:rsid w:val="00014140"/>
    <w:rsid w:val="00015611"/>
    <w:rsid w:val="00022638"/>
    <w:rsid w:val="00024971"/>
    <w:rsid w:val="0002604F"/>
    <w:rsid w:val="00027428"/>
    <w:rsid w:val="00030A94"/>
    <w:rsid w:val="00031EC9"/>
    <w:rsid w:val="00056C0B"/>
    <w:rsid w:val="00066FED"/>
    <w:rsid w:val="00075EA6"/>
    <w:rsid w:val="0007709F"/>
    <w:rsid w:val="000822CC"/>
    <w:rsid w:val="00086F62"/>
    <w:rsid w:val="00090674"/>
    <w:rsid w:val="0009320B"/>
    <w:rsid w:val="00096AE0"/>
    <w:rsid w:val="000A3404"/>
    <w:rsid w:val="000B1B74"/>
    <w:rsid w:val="000B3A2D"/>
    <w:rsid w:val="000B49C0"/>
    <w:rsid w:val="000C5FB6"/>
    <w:rsid w:val="000D7466"/>
    <w:rsid w:val="000E382F"/>
    <w:rsid w:val="000E75CD"/>
    <w:rsid w:val="000F5CE4"/>
    <w:rsid w:val="00101C13"/>
    <w:rsid w:val="001036BA"/>
    <w:rsid w:val="001070D5"/>
    <w:rsid w:val="001146DC"/>
    <w:rsid w:val="00114AB1"/>
    <w:rsid w:val="00120F50"/>
    <w:rsid w:val="001230FF"/>
    <w:rsid w:val="00130BD7"/>
    <w:rsid w:val="00130DF0"/>
    <w:rsid w:val="001331DD"/>
    <w:rsid w:val="00135859"/>
    <w:rsid w:val="0013695A"/>
    <w:rsid w:val="00140434"/>
    <w:rsid w:val="001466C2"/>
    <w:rsid w:val="00155B67"/>
    <w:rsid w:val="001562AF"/>
    <w:rsid w:val="00161A5B"/>
    <w:rsid w:val="0016385D"/>
    <w:rsid w:val="00164460"/>
    <w:rsid w:val="0016782F"/>
    <w:rsid w:val="00172DD7"/>
    <w:rsid w:val="00177289"/>
    <w:rsid w:val="001835FA"/>
    <w:rsid w:val="00187AFC"/>
    <w:rsid w:val="001937E9"/>
    <w:rsid w:val="00193E8C"/>
    <w:rsid w:val="001941F8"/>
    <w:rsid w:val="001964E5"/>
    <w:rsid w:val="001A1C63"/>
    <w:rsid w:val="001A2CBE"/>
    <w:rsid w:val="001A5333"/>
    <w:rsid w:val="001A6540"/>
    <w:rsid w:val="001A781D"/>
    <w:rsid w:val="001B263B"/>
    <w:rsid w:val="001B476A"/>
    <w:rsid w:val="001C493C"/>
    <w:rsid w:val="001C764F"/>
    <w:rsid w:val="001C7BB3"/>
    <w:rsid w:val="001D14B6"/>
    <w:rsid w:val="001D469C"/>
    <w:rsid w:val="001D55F8"/>
    <w:rsid w:val="001D593B"/>
    <w:rsid w:val="001E01A9"/>
    <w:rsid w:val="001E056A"/>
    <w:rsid w:val="001E40CC"/>
    <w:rsid w:val="001F18FA"/>
    <w:rsid w:val="001F2F4D"/>
    <w:rsid w:val="00202FF4"/>
    <w:rsid w:val="002135A1"/>
    <w:rsid w:val="00213D5B"/>
    <w:rsid w:val="0021619E"/>
    <w:rsid w:val="00216582"/>
    <w:rsid w:val="00221115"/>
    <w:rsid w:val="0023171B"/>
    <w:rsid w:val="00234AD0"/>
    <w:rsid w:val="00236BFC"/>
    <w:rsid w:val="00237437"/>
    <w:rsid w:val="00237D14"/>
    <w:rsid w:val="002502FD"/>
    <w:rsid w:val="002648D6"/>
    <w:rsid w:val="00274619"/>
    <w:rsid w:val="00274622"/>
    <w:rsid w:val="00283485"/>
    <w:rsid w:val="00284446"/>
    <w:rsid w:val="00285D24"/>
    <w:rsid w:val="00285E47"/>
    <w:rsid w:val="00290390"/>
    <w:rsid w:val="002915D3"/>
    <w:rsid w:val="002924DB"/>
    <w:rsid w:val="002930E2"/>
    <w:rsid w:val="002941DA"/>
    <w:rsid w:val="00296B19"/>
    <w:rsid w:val="002A6C1D"/>
    <w:rsid w:val="002B5648"/>
    <w:rsid w:val="002B5A7F"/>
    <w:rsid w:val="002C0325"/>
    <w:rsid w:val="002C0C78"/>
    <w:rsid w:val="002C0D26"/>
    <w:rsid w:val="002D4EAD"/>
    <w:rsid w:val="002D6A06"/>
    <w:rsid w:val="002E17FD"/>
    <w:rsid w:val="002E3C35"/>
    <w:rsid w:val="002E6B1B"/>
    <w:rsid w:val="002F5298"/>
    <w:rsid w:val="003006EC"/>
    <w:rsid w:val="00300ED3"/>
    <w:rsid w:val="00303B95"/>
    <w:rsid w:val="00304184"/>
    <w:rsid w:val="00306C6F"/>
    <w:rsid w:val="003249AB"/>
    <w:rsid w:val="00324F3B"/>
    <w:rsid w:val="00326AE0"/>
    <w:rsid w:val="00330AEE"/>
    <w:rsid w:val="00333ECE"/>
    <w:rsid w:val="00337E4F"/>
    <w:rsid w:val="00340B41"/>
    <w:rsid w:val="00340C36"/>
    <w:rsid w:val="00346A9D"/>
    <w:rsid w:val="00350C87"/>
    <w:rsid w:val="00352EE2"/>
    <w:rsid w:val="00355017"/>
    <w:rsid w:val="0036563C"/>
    <w:rsid w:val="00366BC6"/>
    <w:rsid w:val="00380E50"/>
    <w:rsid w:val="0039376F"/>
    <w:rsid w:val="00397F28"/>
    <w:rsid w:val="003A287B"/>
    <w:rsid w:val="003A34BF"/>
    <w:rsid w:val="003A5C85"/>
    <w:rsid w:val="003A61B1"/>
    <w:rsid w:val="003B0050"/>
    <w:rsid w:val="003C2AFE"/>
    <w:rsid w:val="003D03BE"/>
    <w:rsid w:val="003D579D"/>
    <w:rsid w:val="003D6312"/>
    <w:rsid w:val="003E0ADE"/>
    <w:rsid w:val="003E0C4A"/>
    <w:rsid w:val="003E7C74"/>
    <w:rsid w:val="003F31C6"/>
    <w:rsid w:val="003F4593"/>
    <w:rsid w:val="00400882"/>
    <w:rsid w:val="0040225B"/>
    <w:rsid w:val="00402DA2"/>
    <w:rsid w:val="0040661E"/>
    <w:rsid w:val="00410CF7"/>
    <w:rsid w:val="00410FE9"/>
    <w:rsid w:val="004112E3"/>
    <w:rsid w:val="00414151"/>
    <w:rsid w:val="00414CF0"/>
    <w:rsid w:val="0041737D"/>
    <w:rsid w:val="004210DA"/>
    <w:rsid w:val="00425AC2"/>
    <w:rsid w:val="00432BDB"/>
    <w:rsid w:val="00433DE5"/>
    <w:rsid w:val="004360BB"/>
    <w:rsid w:val="00436BD8"/>
    <w:rsid w:val="00443600"/>
    <w:rsid w:val="00443F20"/>
    <w:rsid w:val="00445F44"/>
    <w:rsid w:val="0044771F"/>
    <w:rsid w:val="004662E9"/>
    <w:rsid w:val="0046675C"/>
    <w:rsid w:val="00480963"/>
    <w:rsid w:val="004853A9"/>
    <w:rsid w:val="004A085D"/>
    <w:rsid w:val="004A7B3E"/>
    <w:rsid w:val="004B151D"/>
    <w:rsid w:val="004B5111"/>
    <w:rsid w:val="004C1B8B"/>
    <w:rsid w:val="004C330F"/>
    <w:rsid w:val="004C52F5"/>
    <w:rsid w:val="004C7243"/>
    <w:rsid w:val="004D37CF"/>
    <w:rsid w:val="004D53A0"/>
    <w:rsid w:val="004D601C"/>
    <w:rsid w:val="004E0A2D"/>
    <w:rsid w:val="004E21DE"/>
    <w:rsid w:val="004E3C57"/>
    <w:rsid w:val="004E3CB2"/>
    <w:rsid w:val="004E431D"/>
    <w:rsid w:val="004E6C50"/>
    <w:rsid w:val="004F0CAF"/>
    <w:rsid w:val="00501E95"/>
    <w:rsid w:val="005029C9"/>
    <w:rsid w:val="00525813"/>
    <w:rsid w:val="00526B57"/>
    <w:rsid w:val="00531EA4"/>
    <w:rsid w:val="00533BB6"/>
    <w:rsid w:val="0053513F"/>
    <w:rsid w:val="00553089"/>
    <w:rsid w:val="005608C4"/>
    <w:rsid w:val="00563655"/>
    <w:rsid w:val="00571371"/>
    <w:rsid w:val="00572001"/>
    <w:rsid w:val="00574405"/>
    <w:rsid w:val="005854B0"/>
    <w:rsid w:val="005A0E21"/>
    <w:rsid w:val="005A4DA8"/>
    <w:rsid w:val="005B3A34"/>
    <w:rsid w:val="005C0492"/>
    <w:rsid w:val="005C6275"/>
    <w:rsid w:val="005D49AF"/>
    <w:rsid w:val="005E071F"/>
    <w:rsid w:val="005E149A"/>
    <w:rsid w:val="005E415C"/>
    <w:rsid w:val="005E69C3"/>
    <w:rsid w:val="005E71ED"/>
    <w:rsid w:val="005E7946"/>
    <w:rsid w:val="005F6CFA"/>
    <w:rsid w:val="005F7475"/>
    <w:rsid w:val="005F7EB1"/>
    <w:rsid w:val="006012D6"/>
    <w:rsid w:val="006067F2"/>
    <w:rsid w:val="00611299"/>
    <w:rsid w:val="00611FDF"/>
    <w:rsid w:val="006129F7"/>
    <w:rsid w:val="00613B4D"/>
    <w:rsid w:val="00616365"/>
    <w:rsid w:val="00616F3B"/>
    <w:rsid w:val="006249A7"/>
    <w:rsid w:val="00634985"/>
    <w:rsid w:val="0064225B"/>
    <w:rsid w:val="0064596E"/>
    <w:rsid w:val="006530E3"/>
    <w:rsid w:val="0065514E"/>
    <w:rsid w:val="00663B65"/>
    <w:rsid w:val="006763F9"/>
    <w:rsid w:val="00676B8F"/>
    <w:rsid w:val="00686C61"/>
    <w:rsid w:val="00686E28"/>
    <w:rsid w:val="006910E4"/>
    <w:rsid w:val="006949BC"/>
    <w:rsid w:val="006959AF"/>
    <w:rsid w:val="0069768F"/>
    <w:rsid w:val="006A2A95"/>
    <w:rsid w:val="006B3CC9"/>
    <w:rsid w:val="006D1229"/>
    <w:rsid w:val="006D372F"/>
    <w:rsid w:val="006D42E7"/>
    <w:rsid w:val="006D7A18"/>
    <w:rsid w:val="006E4474"/>
    <w:rsid w:val="006F00F4"/>
    <w:rsid w:val="0070099C"/>
    <w:rsid w:val="00701388"/>
    <w:rsid w:val="00704EE7"/>
    <w:rsid w:val="007212F4"/>
    <w:rsid w:val="00723B7F"/>
    <w:rsid w:val="00725861"/>
    <w:rsid w:val="00726485"/>
    <w:rsid w:val="00726B2B"/>
    <w:rsid w:val="00730D37"/>
    <w:rsid w:val="007325F0"/>
    <w:rsid w:val="0073393A"/>
    <w:rsid w:val="0073539D"/>
    <w:rsid w:val="007359A8"/>
    <w:rsid w:val="007447B9"/>
    <w:rsid w:val="00747B8E"/>
    <w:rsid w:val="00750A10"/>
    <w:rsid w:val="00754EB5"/>
    <w:rsid w:val="00766911"/>
    <w:rsid w:val="007676DA"/>
    <w:rsid w:val="00767B8A"/>
    <w:rsid w:val="00767EBA"/>
    <w:rsid w:val="00775481"/>
    <w:rsid w:val="00775F0E"/>
    <w:rsid w:val="007778BA"/>
    <w:rsid w:val="00780F34"/>
    <w:rsid w:val="00787EA8"/>
    <w:rsid w:val="0079164A"/>
    <w:rsid w:val="007A233B"/>
    <w:rsid w:val="007A7E3A"/>
    <w:rsid w:val="007B2220"/>
    <w:rsid w:val="007B3C7B"/>
    <w:rsid w:val="007B4863"/>
    <w:rsid w:val="007C65E6"/>
    <w:rsid w:val="007D0BEC"/>
    <w:rsid w:val="007D362D"/>
    <w:rsid w:val="007D406B"/>
    <w:rsid w:val="007D4407"/>
    <w:rsid w:val="007D4CF5"/>
    <w:rsid w:val="007D53AA"/>
    <w:rsid w:val="007E1CA3"/>
    <w:rsid w:val="007E2A71"/>
    <w:rsid w:val="007E7A89"/>
    <w:rsid w:val="007F01E1"/>
    <w:rsid w:val="007F16EF"/>
    <w:rsid w:val="0080032D"/>
    <w:rsid w:val="00810E53"/>
    <w:rsid w:val="008116FC"/>
    <w:rsid w:val="00812D62"/>
    <w:rsid w:val="00812F29"/>
    <w:rsid w:val="00821713"/>
    <w:rsid w:val="00827050"/>
    <w:rsid w:val="0083278B"/>
    <w:rsid w:val="008330FF"/>
    <w:rsid w:val="00834538"/>
    <w:rsid w:val="0083741A"/>
    <w:rsid w:val="008413C9"/>
    <w:rsid w:val="008425CF"/>
    <w:rsid w:val="00850E89"/>
    <w:rsid w:val="0085363D"/>
    <w:rsid w:val="00860532"/>
    <w:rsid w:val="008930E4"/>
    <w:rsid w:val="00893821"/>
    <w:rsid w:val="008962CA"/>
    <w:rsid w:val="008A7B9C"/>
    <w:rsid w:val="008B39FA"/>
    <w:rsid w:val="008B4754"/>
    <w:rsid w:val="008B563F"/>
    <w:rsid w:val="008B6D9A"/>
    <w:rsid w:val="008C2218"/>
    <w:rsid w:val="008C5FDA"/>
    <w:rsid w:val="008C6BA8"/>
    <w:rsid w:val="008D4B21"/>
    <w:rsid w:val="008D4B4C"/>
    <w:rsid w:val="008D6D29"/>
    <w:rsid w:val="008E6A7A"/>
    <w:rsid w:val="008E70F6"/>
    <w:rsid w:val="008F1038"/>
    <w:rsid w:val="008F2BD0"/>
    <w:rsid w:val="008F7046"/>
    <w:rsid w:val="009005FC"/>
    <w:rsid w:val="009014B6"/>
    <w:rsid w:val="009069E8"/>
    <w:rsid w:val="00911CEE"/>
    <w:rsid w:val="00914A93"/>
    <w:rsid w:val="0092090A"/>
    <w:rsid w:val="00922E5A"/>
    <w:rsid w:val="00922F4B"/>
    <w:rsid w:val="00925563"/>
    <w:rsid w:val="00925CEF"/>
    <w:rsid w:val="00926CBD"/>
    <w:rsid w:val="0093597F"/>
    <w:rsid w:val="00943315"/>
    <w:rsid w:val="00946C27"/>
    <w:rsid w:val="0095293C"/>
    <w:rsid w:val="0097026A"/>
    <w:rsid w:val="00970E9C"/>
    <w:rsid w:val="00974C0E"/>
    <w:rsid w:val="0098198A"/>
    <w:rsid w:val="00986A85"/>
    <w:rsid w:val="00991E6D"/>
    <w:rsid w:val="00996350"/>
    <w:rsid w:val="009A0F2B"/>
    <w:rsid w:val="009A4F3D"/>
    <w:rsid w:val="009A60F3"/>
    <w:rsid w:val="009B6086"/>
    <w:rsid w:val="009B696B"/>
    <w:rsid w:val="009B7671"/>
    <w:rsid w:val="009E52AF"/>
    <w:rsid w:val="009E5BA1"/>
    <w:rsid w:val="009F056E"/>
    <w:rsid w:val="00A01D42"/>
    <w:rsid w:val="00A040B1"/>
    <w:rsid w:val="00A07285"/>
    <w:rsid w:val="00A14A2C"/>
    <w:rsid w:val="00A24F3D"/>
    <w:rsid w:val="00A26DCD"/>
    <w:rsid w:val="00A314BB"/>
    <w:rsid w:val="00A32B7D"/>
    <w:rsid w:val="00A53D81"/>
    <w:rsid w:val="00A5596B"/>
    <w:rsid w:val="00A56157"/>
    <w:rsid w:val="00A60DE9"/>
    <w:rsid w:val="00A646B3"/>
    <w:rsid w:val="00A658B2"/>
    <w:rsid w:val="00A66DEF"/>
    <w:rsid w:val="00A6739B"/>
    <w:rsid w:val="00A75EC5"/>
    <w:rsid w:val="00A765E4"/>
    <w:rsid w:val="00A816A7"/>
    <w:rsid w:val="00A8255B"/>
    <w:rsid w:val="00A84EC5"/>
    <w:rsid w:val="00A85167"/>
    <w:rsid w:val="00A90413"/>
    <w:rsid w:val="00A90951"/>
    <w:rsid w:val="00A9294E"/>
    <w:rsid w:val="00AA70CC"/>
    <w:rsid w:val="00AA728C"/>
    <w:rsid w:val="00AB0A9C"/>
    <w:rsid w:val="00AB526E"/>
    <w:rsid w:val="00AB6A3C"/>
    <w:rsid w:val="00AB7119"/>
    <w:rsid w:val="00AC4DF6"/>
    <w:rsid w:val="00AD5855"/>
    <w:rsid w:val="00AD79AF"/>
    <w:rsid w:val="00AE7500"/>
    <w:rsid w:val="00AE7F87"/>
    <w:rsid w:val="00AF0AD5"/>
    <w:rsid w:val="00AF1CBA"/>
    <w:rsid w:val="00AF3542"/>
    <w:rsid w:val="00AF37D7"/>
    <w:rsid w:val="00AF5ABE"/>
    <w:rsid w:val="00AF662E"/>
    <w:rsid w:val="00B00415"/>
    <w:rsid w:val="00B0257F"/>
    <w:rsid w:val="00B03C2A"/>
    <w:rsid w:val="00B1000D"/>
    <w:rsid w:val="00B10134"/>
    <w:rsid w:val="00B16BFE"/>
    <w:rsid w:val="00B171D6"/>
    <w:rsid w:val="00B173CD"/>
    <w:rsid w:val="00B33548"/>
    <w:rsid w:val="00B35747"/>
    <w:rsid w:val="00B41D01"/>
    <w:rsid w:val="00B41D25"/>
    <w:rsid w:val="00B500E5"/>
    <w:rsid w:val="00B54FFD"/>
    <w:rsid w:val="00B62338"/>
    <w:rsid w:val="00B702B8"/>
    <w:rsid w:val="00B8773D"/>
    <w:rsid w:val="00BA1894"/>
    <w:rsid w:val="00BA39BB"/>
    <w:rsid w:val="00BA3B3D"/>
    <w:rsid w:val="00BB7EEA"/>
    <w:rsid w:val="00BC222E"/>
    <w:rsid w:val="00BC2F31"/>
    <w:rsid w:val="00BD0ED1"/>
    <w:rsid w:val="00BD1909"/>
    <w:rsid w:val="00BD2D97"/>
    <w:rsid w:val="00BE3191"/>
    <w:rsid w:val="00BE483E"/>
    <w:rsid w:val="00BE4983"/>
    <w:rsid w:val="00BE5E16"/>
    <w:rsid w:val="00BE5FD1"/>
    <w:rsid w:val="00BE6B07"/>
    <w:rsid w:val="00C025D8"/>
    <w:rsid w:val="00C04F37"/>
    <w:rsid w:val="00C056EB"/>
    <w:rsid w:val="00C06E05"/>
    <w:rsid w:val="00C14B14"/>
    <w:rsid w:val="00C15570"/>
    <w:rsid w:val="00C16EDA"/>
    <w:rsid w:val="00C17370"/>
    <w:rsid w:val="00C2054D"/>
    <w:rsid w:val="00C252EB"/>
    <w:rsid w:val="00C26EC0"/>
    <w:rsid w:val="00C3031E"/>
    <w:rsid w:val="00C3085D"/>
    <w:rsid w:val="00C31DB1"/>
    <w:rsid w:val="00C31FD4"/>
    <w:rsid w:val="00C33D25"/>
    <w:rsid w:val="00C360BF"/>
    <w:rsid w:val="00C45232"/>
    <w:rsid w:val="00C53DF7"/>
    <w:rsid w:val="00C56C77"/>
    <w:rsid w:val="00C64056"/>
    <w:rsid w:val="00C77B0A"/>
    <w:rsid w:val="00C81E24"/>
    <w:rsid w:val="00C83461"/>
    <w:rsid w:val="00C84923"/>
    <w:rsid w:val="00C84E13"/>
    <w:rsid w:val="00C852D2"/>
    <w:rsid w:val="00C93FA0"/>
    <w:rsid w:val="00C972B2"/>
    <w:rsid w:val="00C97858"/>
    <w:rsid w:val="00CA0866"/>
    <w:rsid w:val="00CB5876"/>
    <w:rsid w:val="00CB7B3E"/>
    <w:rsid w:val="00CC739D"/>
    <w:rsid w:val="00CD7108"/>
    <w:rsid w:val="00CE0B02"/>
    <w:rsid w:val="00CF5D1C"/>
    <w:rsid w:val="00D015FB"/>
    <w:rsid w:val="00D02366"/>
    <w:rsid w:val="00D04468"/>
    <w:rsid w:val="00D04D2F"/>
    <w:rsid w:val="00D059CC"/>
    <w:rsid w:val="00D166FC"/>
    <w:rsid w:val="00D22FD3"/>
    <w:rsid w:val="00D25BFA"/>
    <w:rsid w:val="00D302EB"/>
    <w:rsid w:val="00D30640"/>
    <w:rsid w:val="00D346AD"/>
    <w:rsid w:val="00D36257"/>
    <w:rsid w:val="00D4687E"/>
    <w:rsid w:val="00D53A12"/>
    <w:rsid w:val="00D54EEB"/>
    <w:rsid w:val="00D558AC"/>
    <w:rsid w:val="00D55A85"/>
    <w:rsid w:val="00D5655E"/>
    <w:rsid w:val="00D57EB5"/>
    <w:rsid w:val="00D6269C"/>
    <w:rsid w:val="00D72E33"/>
    <w:rsid w:val="00D742E8"/>
    <w:rsid w:val="00D77EBC"/>
    <w:rsid w:val="00D81A2D"/>
    <w:rsid w:val="00D82F19"/>
    <w:rsid w:val="00D83592"/>
    <w:rsid w:val="00D87E2A"/>
    <w:rsid w:val="00D926FA"/>
    <w:rsid w:val="00D92DA3"/>
    <w:rsid w:val="00D931CE"/>
    <w:rsid w:val="00D93DC1"/>
    <w:rsid w:val="00D94021"/>
    <w:rsid w:val="00DB01AE"/>
    <w:rsid w:val="00DB0C43"/>
    <w:rsid w:val="00DB3478"/>
    <w:rsid w:val="00DB4CF1"/>
    <w:rsid w:val="00DC133F"/>
    <w:rsid w:val="00DC1F3D"/>
    <w:rsid w:val="00DD012D"/>
    <w:rsid w:val="00DE3354"/>
    <w:rsid w:val="00DF0A55"/>
    <w:rsid w:val="00DF7DCD"/>
    <w:rsid w:val="00E134B0"/>
    <w:rsid w:val="00E20B9A"/>
    <w:rsid w:val="00E25659"/>
    <w:rsid w:val="00E26CB4"/>
    <w:rsid w:val="00E34762"/>
    <w:rsid w:val="00E41A1B"/>
    <w:rsid w:val="00E45230"/>
    <w:rsid w:val="00E47276"/>
    <w:rsid w:val="00E50B7D"/>
    <w:rsid w:val="00E72B1F"/>
    <w:rsid w:val="00E75861"/>
    <w:rsid w:val="00E779F0"/>
    <w:rsid w:val="00E85091"/>
    <w:rsid w:val="00E904A1"/>
    <w:rsid w:val="00EA6DE9"/>
    <w:rsid w:val="00EB7D28"/>
    <w:rsid w:val="00EC0D0C"/>
    <w:rsid w:val="00EC45FD"/>
    <w:rsid w:val="00EC4CF0"/>
    <w:rsid w:val="00EC55BC"/>
    <w:rsid w:val="00ED21D8"/>
    <w:rsid w:val="00ED4A2C"/>
    <w:rsid w:val="00EE3B69"/>
    <w:rsid w:val="00EE44DA"/>
    <w:rsid w:val="00EE6F19"/>
    <w:rsid w:val="00EF5AC4"/>
    <w:rsid w:val="00EF6940"/>
    <w:rsid w:val="00EF6D9E"/>
    <w:rsid w:val="00F03D5D"/>
    <w:rsid w:val="00F12150"/>
    <w:rsid w:val="00F1348F"/>
    <w:rsid w:val="00F17DDD"/>
    <w:rsid w:val="00F2044A"/>
    <w:rsid w:val="00F20BFC"/>
    <w:rsid w:val="00F20C3A"/>
    <w:rsid w:val="00F24D5F"/>
    <w:rsid w:val="00F27D3F"/>
    <w:rsid w:val="00F315FF"/>
    <w:rsid w:val="00F36A39"/>
    <w:rsid w:val="00F37C0E"/>
    <w:rsid w:val="00F37CE9"/>
    <w:rsid w:val="00F40D50"/>
    <w:rsid w:val="00F52B55"/>
    <w:rsid w:val="00F53872"/>
    <w:rsid w:val="00F543F7"/>
    <w:rsid w:val="00F54A0E"/>
    <w:rsid w:val="00F726C3"/>
    <w:rsid w:val="00F737E0"/>
    <w:rsid w:val="00F76730"/>
    <w:rsid w:val="00F820CA"/>
    <w:rsid w:val="00F82E17"/>
    <w:rsid w:val="00F84BF8"/>
    <w:rsid w:val="00F84E50"/>
    <w:rsid w:val="00F8554C"/>
    <w:rsid w:val="00F95266"/>
    <w:rsid w:val="00F95F82"/>
    <w:rsid w:val="00F969D7"/>
    <w:rsid w:val="00F97A90"/>
    <w:rsid w:val="00FB124F"/>
    <w:rsid w:val="00FB7062"/>
    <w:rsid w:val="00FC2F35"/>
    <w:rsid w:val="00FC3372"/>
    <w:rsid w:val="00FC3FD7"/>
    <w:rsid w:val="00FD1FC6"/>
    <w:rsid w:val="00FE1642"/>
    <w:rsid w:val="00FE396B"/>
    <w:rsid w:val="00FE5869"/>
    <w:rsid w:val="00FF138E"/>
    <w:rsid w:val="00FF2CBF"/>
    <w:rsid w:val="0B1E8874"/>
    <w:rsid w:val="11CAABD1"/>
    <w:rsid w:val="22257E58"/>
    <w:rsid w:val="2F830975"/>
    <w:rsid w:val="440BD143"/>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C968D6B1-6F7C-4DF0-926F-6466C5AA7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link w:val="CaptionChar"/>
    <w:qFormat/>
    <w:rsid w:val="004D601C"/>
    <w:pPr>
      <w:spacing w:before="120" w:after="240" w:line="360" w:lineRule="auto"/>
      <w:jc w:val="center"/>
    </w:pPr>
    <w:rPr>
      <w:rFonts w:eastAsia="SimSun"/>
      <w:bCs/>
      <w:lang w:val="en-GB" w:eastAsia="zh-CN"/>
    </w:rPr>
  </w:style>
  <w:style w:type="character" w:customStyle="1" w:styleId="CaptionChar">
    <w:name w:val="Caption Char"/>
    <w:link w:val="Caption"/>
    <w:rsid w:val="004D601C"/>
    <w:rPr>
      <w:rFonts w:eastAsia="SimSun"/>
      <w:bCs/>
      <w:sz w:val="24"/>
      <w:lang w:eastAsia="zh-CN"/>
    </w:rPr>
  </w:style>
  <w:style w:type="table" w:styleId="ListTable6Colorful">
    <w:name w:val="List Table 6 Colorful"/>
    <w:basedOn w:val="TableNormal"/>
    <w:uiPriority w:val="51"/>
    <w:rsid w:val="00EC45FD"/>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ibliography">
    <w:name w:val="Bibliography"/>
    <w:basedOn w:val="Normal"/>
    <w:next w:val="Normal"/>
    <w:uiPriority w:val="37"/>
    <w:unhideWhenUsed/>
    <w:rsid w:val="00CA0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5126">
      <w:bodyDiv w:val="1"/>
      <w:marLeft w:val="0"/>
      <w:marRight w:val="0"/>
      <w:marTop w:val="0"/>
      <w:marBottom w:val="0"/>
      <w:divBdr>
        <w:top w:val="none" w:sz="0" w:space="0" w:color="auto"/>
        <w:left w:val="none" w:sz="0" w:space="0" w:color="auto"/>
        <w:bottom w:val="none" w:sz="0" w:space="0" w:color="auto"/>
        <w:right w:val="none" w:sz="0" w:space="0" w:color="auto"/>
      </w:divBdr>
    </w:div>
    <w:div w:id="27536944">
      <w:bodyDiv w:val="1"/>
      <w:marLeft w:val="0"/>
      <w:marRight w:val="0"/>
      <w:marTop w:val="0"/>
      <w:marBottom w:val="0"/>
      <w:divBdr>
        <w:top w:val="none" w:sz="0" w:space="0" w:color="auto"/>
        <w:left w:val="none" w:sz="0" w:space="0" w:color="auto"/>
        <w:bottom w:val="none" w:sz="0" w:space="0" w:color="auto"/>
        <w:right w:val="none" w:sz="0" w:space="0" w:color="auto"/>
      </w:divBdr>
    </w:div>
    <w:div w:id="61491996">
      <w:bodyDiv w:val="1"/>
      <w:marLeft w:val="0"/>
      <w:marRight w:val="0"/>
      <w:marTop w:val="0"/>
      <w:marBottom w:val="0"/>
      <w:divBdr>
        <w:top w:val="none" w:sz="0" w:space="0" w:color="auto"/>
        <w:left w:val="none" w:sz="0" w:space="0" w:color="auto"/>
        <w:bottom w:val="none" w:sz="0" w:space="0" w:color="auto"/>
        <w:right w:val="none" w:sz="0" w:space="0" w:color="auto"/>
      </w:divBdr>
    </w:div>
    <w:div w:id="94642315">
      <w:bodyDiv w:val="1"/>
      <w:marLeft w:val="0"/>
      <w:marRight w:val="0"/>
      <w:marTop w:val="0"/>
      <w:marBottom w:val="0"/>
      <w:divBdr>
        <w:top w:val="none" w:sz="0" w:space="0" w:color="auto"/>
        <w:left w:val="none" w:sz="0" w:space="0" w:color="auto"/>
        <w:bottom w:val="none" w:sz="0" w:space="0" w:color="auto"/>
        <w:right w:val="none" w:sz="0" w:space="0" w:color="auto"/>
      </w:divBdr>
    </w:div>
    <w:div w:id="127480652">
      <w:bodyDiv w:val="1"/>
      <w:marLeft w:val="0"/>
      <w:marRight w:val="0"/>
      <w:marTop w:val="0"/>
      <w:marBottom w:val="0"/>
      <w:divBdr>
        <w:top w:val="none" w:sz="0" w:space="0" w:color="auto"/>
        <w:left w:val="none" w:sz="0" w:space="0" w:color="auto"/>
        <w:bottom w:val="none" w:sz="0" w:space="0" w:color="auto"/>
        <w:right w:val="none" w:sz="0" w:space="0" w:color="auto"/>
      </w:divBdr>
    </w:div>
    <w:div w:id="138501486">
      <w:bodyDiv w:val="1"/>
      <w:marLeft w:val="0"/>
      <w:marRight w:val="0"/>
      <w:marTop w:val="0"/>
      <w:marBottom w:val="0"/>
      <w:divBdr>
        <w:top w:val="none" w:sz="0" w:space="0" w:color="auto"/>
        <w:left w:val="none" w:sz="0" w:space="0" w:color="auto"/>
        <w:bottom w:val="none" w:sz="0" w:space="0" w:color="auto"/>
        <w:right w:val="none" w:sz="0" w:space="0" w:color="auto"/>
      </w:divBdr>
    </w:div>
    <w:div w:id="195120939">
      <w:bodyDiv w:val="1"/>
      <w:marLeft w:val="0"/>
      <w:marRight w:val="0"/>
      <w:marTop w:val="0"/>
      <w:marBottom w:val="0"/>
      <w:divBdr>
        <w:top w:val="none" w:sz="0" w:space="0" w:color="auto"/>
        <w:left w:val="none" w:sz="0" w:space="0" w:color="auto"/>
        <w:bottom w:val="none" w:sz="0" w:space="0" w:color="auto"/>
        <w:right w:val="none" w:sz="0" w:space="0" w:color="auto"/>
      </w:divBdr>
    </w:div>
    <w:div w:id="268046455">
      <w:bodyDiv w:val="1"/>
      <w:marLeft w:val="0"/>
      <w:marRight w:val="0"/>
      <w:marTop w:val="0"/>
      <w:marBottom w:val="0"/>
      <w:divBdr>
        <w:top w:val="none" w:sz="0" w:space="0" w:color="auto"/>
        <w:left w:val="none" w:sz="0" w:space="0" w:color="auto"/>
        <w:bottom w:val="none" w:sz="0" w:space="0" w:color="auto"/>
        <w:right w:val="none" w:sz="0" w:space="0" w:color="auto"/>
      </w:divBdr>
    </w:div>
    <w:div w:id="274365419">
      <w:bodyDiv w:val="1"/>
      <w:marLeft w:val="0"/>
      <w:marRight w:val="0"/>
      <w:marTop w:val="0"/>
      <w:marBottom w:val="0"/>
      <w:divBdr>
        <w:top w:val="none" w:sz="0" w:space="0" w:color="auto"/>
        <w:left w:val="none" w:sz="0" w:space="0" w:color="auto"/>
        <w:bottom w:val="none" w:sz="0" w:space="0" w:color="auto"/>
        <w:right w:val="none" w:sz="0" w:space="0" w:color="auto"/>
      </w:divBdr>
    </w:div>
    <w:div w:id="316300965">
      <w:bodyDiv w:val="1"/>
      <w:marLeft w:val="0"/>
      <w:marRight w:val="0"/>
      <w:marTop w:val="0"/>
      <w:marBottom w:val="0"/>
      <w:divBdr>
        <w:top w:val="none" w:sz="0" w:space="0" w:color="auto"/>
        <w:left w:val="none" w:sz="0" w:space="0" w:color="auto"/>
        <w:bottom w:val="none" w:sz="0" w:space="0" w:color="auto"/>
        <w:right w:val="none" w:sz="0" w:space="0" w:color="auto"/>
      </w:divBdr>
    </w:div>
    <w:div w:id="470247474">
      <w:bodyDiv w:val="1"/>
      <w:marLeft w:val="0"/>
      <w:marRight w:val="0"/>
      <w:marTop w:val="0"/>
      <w:marBottom w:val="0"/>
      <w:divBdr>
        <w:top w:val="none" w:sz="0" w:space="0" w:color="auto"/>
        <w:left w:val="none" w:sz="0" w:space="0" w:color="auto"/>
        <w:bottom w:val="none" w:sz="0" w:space="0" w:color="auto"/>
        <w:right w:val="none" w:sz="0" w:space="0" w:color="auto"/>
      </w:divBdr>
    </w:div>
    <w:div w:id="535657636">
      <w:bodyDiv w:val="1"/>
      <w:marLeft w:val="0"/>
      <w:marRight w:val="0"/>
      <w:marTop w:val="0"/>
      <w:marBottom w:val="0"/>
      <w:divBdr>
        <w:top w:val="none" w:sz="0" w:space="0" w:color="auto"/>
        <w:left w:val="none" w:sz="0" w:space="0" w:color="auto"/>
        <w:bottom w:val="none" w:sz="0" w:space="0" w:color="auto"/>
        <w:right w:val="none" w:sz="0" w:space="0" w:color="auto"/>
      </w:divBdr>
    </w:div>
    <w:div w:id="606430403">
      <w:bodyDiv w:val="1"/>
      <w:marLeft w:val="0"/>
      <w:marRight w:val="0"/>
      <w:marTop w:val="0"/>
      <w:marBottom w:val="0"/>
      <w:divBdr>
        <w:top w:val="none" w:sz="0" w:space="0" w:color="auto"/>
        <w:left w:val="none" w:sz="0" w:space="0" w:color="auto"/>
        <w:bottom w:val="none" w:sz="0" w:space="0" w:color="auto"/>
        <w:right w:val="none" w:sz="0" w:space="0" w:color="auto"/>
      </w:divBdr>
    </w:div>
    <w:div w:id="659037496">
      <w:bodyDiv w:val="1"/>
      <w:marLeft w:val="0"/>
      <w:marRight w:val="0"/>
      <w:marTop w:val="0"/>
      <w:marBottom w:val="0"/>
      <w:divBdr>
        <w:top w:val="none" w:sz="0" w:space="0" w:color="auto"/>
        <w:left w:val="none" w:sz="0" w:space="0" w:color="auto"/>
        <w:bottom w:val="none" w:sz="0" w:space="0" w:color="auto"/>
        <w:right w:val="none" w:sz="0" w:space="0" w:color="auto"/>
      </w:divBdr>
    </w:div>
    <w:div w:id="765421345">
      <w:bodyDiv w:val="1"/>
      <w:marLeft w:val="0"/>
      <w:marRight w:val="0"/>
      <w:marTop w:val="0"/>
      <w:marBottom w:val="0"/>
      <w:divBdr>
        <w:top w:val="none" w:sz="0" w:space="0" w:color="auto"/>
        <w:left w:val="none" w:sz="0" w:space="0" w:color="auto"/>
        <w:bottom w:val="none" w:sz="0" w:space="0" w:color="auto"/>
        <w:right w:val="none" w:sz="0" w:space="0" w:color="auto"/>
      </w:divBdr>
    </w:div>
    <w:div w:id="783113424">
      <w:bodyDiv w:val="1"/>
      <w:marLeft w:val="0"/>
      <w:marRight w:val="0"/>
      <w:marTop w:val="0"/>
      <w:marBottom w:val="0"/>
      <w:divBdr>
        <w:top w:val="none" w:sz="0" w:space="0" w:color="auto"/>
        <w:left w:val="none" w:sz="0" w:space="0" w:color="auto"/>
        <w:bottom w:val="none" w:sz="0" w:space="0" w:color="auto"/>
        <w:right w:val="none" w:sz="0" w:space="0" w:color="auto"/>
      </w:divBdr>
    </w:div>
    <w:div w:id="790243417">
      <w:bodyDiv w:val="1"/>
      <w:marLeft w:val="0"/>
      <w:marRight w:val="0"/>
      <w:marTop w:val="0"/>
      <w:marBottom w:val="0"/>
      <w:divBdr>
        <w:top w:val="none" w:sz="0" w:space="0" w:color="auto"/>
        <w:left w:val="none" w:sz="0" w:space="0" w:color="auto"/>
        <w:bottom w:val="none" w:sz="0" w:space="0" w:color="auto"/>
        <w:right w:val="none" w:sz="0" w:space="0" w:color="auto"/>
      </w:divBdr>
    </w:div>
    <w:div w:id="826440413">
      <w:bodyDiv w:val="1"/>
      <w:marLeft w:val="0"/>
      <w:marRight w:val="0"/>
      <w:marTop w:val="0"/>
      <w:marBottom w:val="0"/>
      <w:divBdr>
        <w:top w:val="none" w:sz="0" w:space="0" w:color="auto"/>
        <w:left w:val="none" w:sz="0" w:space="0" w:color="auto"/>
        <w:bottom w:val="none" w:sz="0" w:space="0" w:color="auto"/>
        <w:right w:val="none" w:sz="0" w:space="0" w:color="auto"/>
      </w:divBdr>
    </w:div>
    <w:div w:id="833760694">
      <w:bodyDiv w:val="1"/>
      <w:marLeft w:val="0"/>
      <w:marRight w:val="0"/>
      <w:marTop w:val="0"/>
      <w:marBottom w:val="0"/>
      <w:divBdr>
        <w:top w:val="none" w:sz="0" w:space="0" w:color="auto"/>
        <w:left w:val="none" w:sz="0" w:space="0" w:color="auto"/>
        <w:bottom w:val="none" w:sz="0" w:space="0" w:color="auto"/>
        <w:right w:val="none" w:sz="0" w:space="0" w:color="auto"/>
      </w:divBdr>
    </w:div>
    <w:div w:id="860582018">
      <w:bodyDiv w:val="1"/>
      <w:marLeft w:val="0"/>
      <w:marRight w:val="0"/>
      <w:marTop w:val="0"/>
      <w:marBottom w:val="0"/>
      <w:divBdr>
        <w:top w:val="none" w:sz="0" w:space="0" w:color="auto"/>
        <w:left w:val="none" w:sz="0" w:space="0" w:color="auto"/>
        <w:bottom w:val="none" w:sz="0" w:space="0" w:color="auto"/>
        <w:right w:val="none" w:sz="0" w:space="0" w:color="auto"/>
      </w:divBdr>
    </w:div>
    <w:div w:id="914513062">
      <w:bodyDiv w:val="1"/>
      <w:marLeft w:val="0"/>
      <w:marRight w:val="0"/>
      <w:marTop w:val="0"/>
      <w:marBottom w:val="0"/>
      <w:divBdr>
        <w:top w:val="none" w:sz="0" w:space="0" w:color="auto"/>
        <w:left w:val="none" w:sz="0" w:space="0" w:color="auto"/>
        <w:bottom w:val="none" w:sz="0" w:space="0" w:color="auto"/>
        <w:right w:val="none" w:sz="0" w:space="0" w:color="auto"/>
      </w:divBdr>
    </w:div>
    <w:div w:id="953363039">
      <w:bodyDiv w:val="1"/>
      <w:marLeft w:val="0"/>
      <w:marRight w:val="0"/>
      <w:marTop w:val="0"/>
      <w:marBottom w:val="0"/>
      <w:divBdr>
        <w:top w:val="none" w:sz="0" w:space="0" w:color="auto"/>
        <w:left w:val="none" w:sz="0" w:space="0" w:color="auto"/>
        <w:bottom w:val="none" w:sz="0" w:space="0" w:color="auto"/>
        <w:right w:val="none" w:sz="0" w:space="0" w:color="auto"/>
      </w:divBdr>
    </w:div>
    <w:div w:id="997806019">
      <w:bodyDiv w:val="1"/>
      <w:marLeft w:val="0"/>
      <w:marRight w:val="0"/>
      <w:marTop w:val="0"/>
      <w:marBottom w:val="0"/>
      <w:divBdr>
        <w:top w:val="none" w:sz="0" w:space="0" w:color="auto"/>
        <w:left w:val="none" w:sz="0" w:space="0" w:color="auto"/>
        <w:bottom w:val="none" w:sz="0" w:space="0" w:color="auto"/>
        <w:right w:val="none" w:sz="0" w:space="0" w:color="auto"/>
      </w:divBdr>
    </w:div>
    <w:div w:id="1023088518">
      <w:bodyDiv w:val="1"/>
      <w:marLeft w:val="0"/>
      <w:marRight w:val="0"/>
      <w:marTop w:val="0"/>
      <w:marBottom w:val="0"/>
      <w:divBdr>
        <w:top w:val="none" w:sz="0" w:space="0" w:color="auto"/>
        <w:left w:val="none" w:sz="0" w:space="0" w:color="auto"/>
        <w:bottom w:val="none" w:sz="0" w:space="0" w:color="auto"/>
        <w:right w:val="none" w:sz="0" w:space="0" w:color="auto"/>
      </w:divBdr>
    </w:div>
    <w:div w:id="1050375978">
      <w:bodyDiv w:val="1"/>
      <w:marLeft w:val="0"/>
      <w:marRight w:val="0"/>
      <w:marTop w:val="0"/>
      <w:marBottom w:val="0"/>
      <w:divBdr>
        <w:top w:val="none" w:sz="0" w:space="0" w:color="auto"/>
        <w:left w:val="none" w:sz="0" w:space="0" w:color="auto"/>
        <w:bottom w:val="none" w:sz="0" w:space="0" w:color="auto"/>
        <w:right w:val="none" w:sz="0" w:space="0" w:color="auto"/>
      </w:divBdr>
    </w:div>
    <w:div w:id="1058017838">
      <w:bodyDiv w:val="1"/>
      <w:marLeft w:val="0"/>
      <w:marRight w:val="0"/>
      <w:marTop w:val="0"/>
      <w:marBottom w:val="0"/>
      <w:divBdr>
        <w:top w:val="none" w:sz="0" w:space="0" w:color="auto"/>
        <w:left w:val="none" w:sz="0" w:space="0" w:color="auto"/>
        <w:bottom w:val="none" w:sz="0" w:space="0" w:color="auto"/>
        <w:right w:val="none" w:sz="0" w:space="0" w:color="auto"/>
      </w:divBdr>
    </w:div>
    <w:div w:id="1080130149">
      <w:bodyDiv w:val="1"/>
      <w:marLeft w:val="0"/>
      <w:marRight w:val="0"/>
      <w:marTop w:val="0"/>
      <w:marBottom w:val="0"/>
      <w:divBdr>
        <w:top w:val="none" w:sz="0" w:space="0" w:color="auto"/>
        <w:left w:val="none" w:sz="0" w:space="0" w:color="auto"/>
        <w:bottom w:val="none" w:sz="0" w:space="0" w:color="auto"/>
        <w:right w:val="none" w:sz="0" w:space="0" w:color="auto"/>
      </w:divBdr>
    </w:div>
    <w:div w:id="1111826782">
      <w:bodyDiv w:val="1"/>
      <w:marLeft w:val="0"/>
      <w:marRight w:val="0"/>
      <w:marTop w:val="0"/>
      <w:marBottom w:val="0"/>
      <w:divBdr>
        <w:top w:val="none" w:sz="0" w:space="0" w:color="auto"/>
        <w:left w:val="none" w:sz="0" w:space="0" w:color="auto"/>
        <w:bottom w:val="none" w:sz="0" w:space="0" w:color="auto"/>
        <w:right w:val="none" w:sz="0" w:space="0" w:color="auto"/>
      </w:divBdr>
    </w:div>
    <w:div w:id="1117916931">
      <w:bodyDiv w:val="1"/>
      <w:marLeft w:val="0"/>
      <w:marRight w:val="0"/>
      <w:marTop w:val="0"/>
      <w:marBottom w:val="0"/>
      <w:divBdr>
        <w:top w:val="none" w:sz="0" w:space="0" w:color="auto"/>
        <w:left w:val="none" w:sz="0" w:space="0" w:color="auto"/>
        <w:bottom w:val="none" w:sz="0" w:space="0" w:color="auto"/>
        <w:right w:val="none" w:sz="0" w:space="0" w:color="auto"/>
      </w:divBdr>
    </w:div>
    <w:div w:id="1132359940">
      <w:bodyDiv w:val="1"/>
      <w:marLeft w:val="0"/>
      <w:marRight w:val="0"/>
      <w:marTop w:val="0"/>
      <w:marBottom w:val="0"/>
      <w:divBdr>
        <w:top w:val="none" w:sz="0" w:space="0" w:color="auto"/>
        <w:left w:val="none" w:sz="0" w:space="0" w:color="auto"/>
        <w:bottom w:val="none" w:sz="0" w:space="0" w:color="auto"/>
        <w:right w:val="none" w:sz="0" w:space="0" w:color="auto"/>
      </w:divBdr>
    </w:div>
    <w:div w:id="1146243420">
      <w:bodyDiv w:val="1"/>
      <w:marLeft w:val="0"/>
      <w:marRight w:val="0"/>
      <w:marTop w:val="0"/>
      <w:marBottom w:val="0"/>
      <w:divBdr>
        <w:top w:val="none" w:sz="0" w:space="0" w:color="auto"/>
        <w:left w:val="none" w:sz="0" w:space="0" w:color="auto"/>
        <w:bottom w:val="none" w:sz="0" w:space="0" w:color="auto"/>
        <w:right w:val="none" w:sz="0" w:space="0" w:color="auto"/>
      </w:divBdr>
    </w:div>
    <w:div w:id="1149831234">
      <w:bodyDiv w:val="1"/>
      <w:marLeft w:val="0"/>
      <w:marRight w:val="0"/>
      <w:marTop w:val="0"/>
      <w:marBottom w:val="0"/>
      <w:divBdr>
        <w:top w:val="none" w:sz="0" w:space="0" w:color="auto"/>
        <w:left w:val="none" w:sz="0" w:space="0" w:color="auto"/>
        <w:bottom w:val="none" w:sz="0" w:space="0" w:color="auto"/>
        <w:right w:val="none" w:sz="0" w:space="0" w:color="auto"/>
      </w:divBdr>
    </w:div>
    <w:div w:id="1219124714">
      <w:bodyDiv w:val="1"/>
      <w:marLeft w:val="0"/>
      <w:marRight w:val="0"/>
      <w:marTop w:val="0"/>
      <w:marBottom w:val="0"/>
      <w:divBdr>
        <w:top w:val="none" w:sz="0" w:space="0" w:color="auto"/>
        <w:left w:val="none" w:sz="0" w:space="0" w:color="auto"/>
        <w:bottom w:val="none" w:sz="0" w:space="0" w:color="auto"/>
        <w:right w:val="none" w:sz="0" w:space="0" w:color="auto"/>
      </w:divBdr>
    </w:div>
    <w:div w:id="123662692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7663627">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2634969">
      <w:bodyDiv w:val="1"/>
      <w:marLeft w:val="0"/>
      <w:marRight w:val="0"/>
      <w:marTop w:val="0"/>
      <w:marBottom w:val="0"/>
      <w:divBdr>
        <w:top w:val="none" w:sz="0" w:space="0" w:color="auto"/>
        <w:left w:val="none" w:sz="0" w:space="0" w:color="auto"/>
        <w:bottom w:val="none" w:sz="0" w:space="0" w:color="auto"/>
        <w:right w:val="none" w:sz="0" w:space="0" w:color="auto"/>
      </w:divBdr>
    </w:div>
    <w:div w:id="1361970568">
      <w:bodyDiv w:val="1"/>
      <w:marLeft w:val="0"/>
      <w:marRight w:val="0"/>
      <w:marTop w:val="0"/>
      <w:marBottom w:val="0"/>
      <w:divBdr>
        <w:top w:val="none" w:sz="0" w:space="0" w:color="auto"/>
        <w:left w:val="none" w:sz="0" w:space="0" w:color="auto"/>
        <w:bottom w:val="none" w:sz="0" w:space="0" w:color="auto"/>
        <w:right w:val="none" w:sz="0" w:space="0" w:color="auto"/>
      </w:divBdr>
    </w:div>
    <w:div w:id="1402213541">
      <w:bodyDiv w:val="1"/>
      <w:marLeft w:val="0"/>
      <w:marRight w:val="0"/>
      <w:marTop w:val="0"/>
      <w:marBottom w:val="0"/>
      <w:divBdr>
        <w:top w:val="none" w:sz="0" w:space="0" w:color="auto"/>
        <w:left w:val="none" w:sz="0" w:space="0" w:color="auto"/>
        <w:bottom w:val="none" w:sz="0" w:space="0" w:color="auto"/>
        <w:right w:val="none" w:sz="0" w:space="0" w:color="auto"/>
      </w:divBdr>
    </w:div>
    <w:div w:id="1448697551">
      <w:bodyDiv w:val="1"/>
      <w:marLeft w:val="0"/>
      <w:marRight w:val="0"/>
      <w:marTop w:val="0"/>
      <w:marBottom w:val="0"/>
      <w:divBdr>
        <w:top w:val="none" w:sz="0" w:space="0" w:color="auto"/>
        <w:left w:val="none" w:sz="0" w:space="0" w:color="auto"/>
        <w:bottom w:val="none" w:sz="0" w:space="0" w:color="auto"/>
        <w:right w:val="none" w:sz="0" w:space="0" w:color="auto"/>
      </w:divBdr>
    </w:div>
    <w:div w:id="1448767411">
      <w:bodyDiv w:val="1"/>
      <w:marLeft w:val="0"/>
      <w:marRight w:val="0"/>
      <w:marTop w:val="0"/>
      <w:marBottom w:val="0"/>
      <w:divBdr>
        <w:top w:val="none" w:sz="0" w:space="0" w:color="auto"/>
        <w:left w:val="none" w:sz="0" w:space="0" w:color="auto"/>
        <w:bottom w:val="none" w:sz="0" w:space="0" w:color="auto"/>
        <w:right w:val="none" w:sz="0" w:space="0" w:color="auto"/>
      </w:divBdr>
    </w:div>
    <w:div w:id="1469780475">
      <w:bodyDiv w:val="1"/>
      <w:marLeft w:val="0"/>
      <w:marRight w:val="0"/>
      <w:marTop w:val="0"/>
      <w:marBottom w:val="0"/>
      <w:divBdr>
        <w:top w:val="none" w:sz="0" w:space="0" w:color="auto"/>
        <w:left w:val="none" w:sz="0" w:space="0" w:color="auto"/>
        <w:bottom w:val="none" w:sz="0" w:space="0" w:color="auto"/>
        <w:right w:val="none" w:sz="0" w:space="0" w:color="auto"/>
      </w:divBdr>
    </w:div>
    <w:div w:id="1544248777">
      <w:bodyDiv w:val="1"/>
      <w:marLeft w:val="0"/>
      <w:marRight w:val="0"/>
      <w:marTop w:val="0"/>
      <w:marBottom w:val="0"/>
      <w:divBdr>
        <w:top w:val="none" w:sz="0" w:space="0" w:color="auto"/>
        <w:left w:val="none" w:sz="0" w:space="0" w:color="auto"/>
        <w:bottom w:val="none" w:sz="0" w:space="0" w:color="auto"/>
        <w:right w:val="none" w:sz="0" w:space="0" w:color="auto"/>
      </w:divBdr>
    </w:div>
    <w:div w:id="1548639893">
      <w:bodyDiv w:val="1"/>
      <w:marLeft w:val="0"/>
      <w:marRight w:val="0"/>
      <w:marTop w:val="0"/>
      <w:marBottom w:val="0"/>
      <w:divBdr>
        <w:top w:val="none" w:sz="0" w:space="0" w:color="auto"/>
        <w:left w:val="none" w:sz="0" w:space="0" w:color="auto"/>
        <w:bottom w:val="none" w:sz="0" w:space="0" w:color="auto"/>
        <w:right w:val="none" w:sz="0" w:space="0" w:color="auto"/>
      </w:divBdr>
    </w:div>
    <w:div w:id="162091650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9419709">
      <w:bodyDiv w:val="1"/>
      <w:marLeft w:val="0"/>
      <w:marRight w:val="0"/>
      <w:marTop w:val="0"/>
      <w:marBottom w:val="0"/>
      <w:divBdr>
        <w:top w:val="none" w:sz="0" w:space="0" w:color="auto"/>
        <w:left w:val="none" w:sz="0" w:space="0" w:color="auto"/>
        <w:bottom w:val="none" w:sz="0" w:space="0" w:color="auto"/>
        <w:right w:val="none" w:sz="0" w:space="0" w:color="auto"/>
      </w:divBdr>
    </w:div>
    <w:div w:id="1802338292">
      <w:bodyDiv w:val="1"/>
      <w:marLeft w:val="0"/>
      <w:marRight w:val="0"/>
      <w:marTop w:val="0"/>
      <w:marBottom w:val="0"/>
      <w:divBdr>
        <w:top w:val="none" w:sz="0" w:space="0" w:color="auto"/>
        <w:left w:val="none" w:sz="0" w:space="0" w:color="auto"/>
        <w:bottom w:val="none" w:sz="0" w:space="0" w:color="auto"/>
        <w:right w:val="none" w:sz="0" w:space="0" w:color="auto"/>
      </w:divBdr>
    </w:div>
    <w:div w:id="1802459384">
      <w:bodyDiv w:val="1"/>
      <w:marLeft w:val="0"/>
      <w:marRight w:val="0"/>
      <w:marTop w:val="0"/>
      <w:marBottom w:val="0"/>
      <w:divBdr>
        <w:top w:val="none" w:sz="0" w:space="0" w:color="auto"/>
        <w:left w:val="none" w:sz="0" w:space="0" w:color="auto"/>
        <w:bottom w:val="none" w:sz="0" w:space="0" w:color="auto"/>
        <w:right w:val="none" w:sz="0" w:space="0" w:color="auto"/>
      </w:divBdr>
    </w:div>
    <w:div w:id="1830362846">
      <w:bodyDiv w:val="1"/>
      <w:marLeft w:val="0"/>
      <w:marRight w:val="0"/>
      <w:marTop w:val="0"/>
      <w:marBottom w:val="0"/>
      <w:divBdr>
        <w:top w:val="none" w:sz="0" w:space="0" w:color="auto"/>
        <w:left w:val="none" w:sz="0" w:space="0" w:color="auto"/>
        <w:bottom w:val="none" w:sz="0" w:space="0" w:color="auto"/>
        <w:right w:val="none" w:sz="0" w:space="0" w:color="auto"/>
      </w:divBdr>
    </w:div>
    <w:div w:id="1831865660">
      <w:bodyDiv w:val="1"/>
      <w:marLeft w:val="0"/>
      <w:marRight w:val="0"/>
      <w:marTop w:val="0"/>
      <w:marBottom w:val="0"/>
      <w:divBdr>
        <w:top w:val="none" w:sz="0" w:space="0" w:color="auto"/>
        <w:left w:val="none" w:sz="0" w:space="0" w:color="auto"/>
        <w:bottom w:val="none" w:sz="0" w:space="0" w:color="auto"/>
        <w:right w:val="none" w:sz="0" w:space="0" w:color="auto"/>
      </w:divBdr>
    </w:div>
    <w:div w:id="1863587760">
      <w:bodyDiv w:val="1"/>
      <w:marLeft w:val="0"/>
      <w:marRight w:val="0"/>
      <w:marTop w:val="0"/>
      <w:marBottom w:val="0"/>
      <w:divBdr>
        <w:top w:val="none" w:sz="0" w:space="0" w:color="auto"/>
        <w:left w:val="none" w:sz="0" w:space="0" w:color="auto"/>
        <w:bottom w:val="none" w:sz="0" w:space="0" w:color="auto"/>
        <w:right w:val="none" w:sz="0" w:space="0" w:color="auto"/>
      </w:divBdr>
    </w:div>
    <w:div w:id="1865554747">
      <w:bodyDiv w:val="1"/>
      <w:marLeft w:val="0"/>
      <w:marRight w:val="0"/>
      <w:marTop w:val="0"/>
      <w:marBottom w:val="0"/>
      <w:divBdr>
        <w:top w:val="none" w:sz="0" w:space="0" w:color="auto"/>
        <w:left w:val="none" w:sz="0" w:space="0" w:color="auto"/>
        <w:bottom w:val="none" w:sz="0" w:space="0" w:color="auto"/>
        <w:right w:val="none" w:sz="0" w:space="0" w:color="auto"/>
      </w:divBdr>
    </w:div>
    <w:div w:id="1969509980">
      <w:bodyDiv w:val="1"/>
      <w:marLeft w:val="0"/>
      <w:marRight w:val="0"/>
      <w:marTop w:val="0"/>
      <w:marBottom w:val="0"/>
      <w:divBdr>
        <w:top w:val="none" w:sz="0" w:space="0" w:color="auto"/>
        <w:left w:val="none" w:sz="0" w:space="0" w:color="auto"/>
        <w:bottom w:val="none" w:sz="0" w:space="0" w:color="auto"/>
        <w:right w:val="none" w:sz="0" w:space="0" w:color="auto"/>
      </w:divBdr>
    </w:div>
    <w:div w:id="1999187646">
      <w:bodyDiv w:val="1"/>
      <w:marLeft w:val="0"/>
      <w:marRight w:val="0"/>
      <w:marTop w:val="0"/>
      <w:marBottom w:val="0"/>
      <w:divBdr>
        <w:top w:val="none" w:sz="0" w:space="0" w:color="auto"/>
        <w:left w:val="none" w:sz="0" w:space="0" w:color="auto"/>
        <w:bottom w:val="none" w:sz="0" w:space="0" w:color="auto"/>
        <w:right w:val="none" w:sz="0" w:space="0" w:color="auto"/>
      </w:divBdr>
    </w:div>
    <w:div w:id="2061243733">
      <w:bodyDiv w:val="1"/>
      <w:marLeft w:val="0"/>
      <w:marRight w:val="0"/>
      <w:marTop w:val="0"/>
      <w:marBottom w:val="0"/>
      <w:divBdr>
        <w:top w:val="none" w:sz="0" w:space="0" w:color="auto"/>
        <w:left w:val="none" w:sz="0" w:space="0" w:color="auto"/>
        <w:bottom w:val="none" w:sz="0" w:space="0" w:color="auto"/>
        <w:right w:val="none" w:sz="0" w:space="0" w:color="auto"/>
      </w:divBdr>
    </w:div>
    <w:div w:id="2085489703">
      <w:bodyDiv w:val="1"/>
      <w:marLeft w:val="0"/>
      <w:marRight w:val="0"/>
      <w:marTop w:val="0"/>
      <w:marBottom w:val="0"/>
      <w:divBdr>
        <w:top w:val="none" w:sz="0" w:space="0" w:color="auto"/>
        <w:left w:val="none" w:sz="0" w:space="0" w:color="auto"/>
        <w:bottom w:val="none" w:sz="0" w:space="0" w:color="auto"/>
        <w:right w:val="none" w:sz="0" w:space="0" w:color="auto"/>
      </w:divBdr>
    </w:div>
    <w:div w:id="2125273535">
      <w:bodyDiv w:val="1"/>
      <w:marLeft w:val="0"/>
      <w:marRight w:val="0"/>
      <w:marTop w:val="0"/>
      <w:marBottom w:val="0"/>
      <w:divBdr>
        <w:top w:val="none" w:sz="0" w:space="0" w:color="auto"/>
        <w:left w:val="none" w:sz="0" w:space="0" w:color="auto"/>
        <w:bottom w:val="none" w:sz="0" w:space="0" w:color="auto"/>
        <w:right w:val="none" w:sz="0" w:space="0" w:color="auto"/>
      </w:divBdr>
    </w:div>
    <w:div w:id="213092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Version="0">
  <b:Source>
    <b:Tag>Jou23</b:Tag>
    <b:SourceType>JournalArticle</b:SourceType>
    <b:Guid>{9E8AC7C8-6E78-4A0C-A1CB-CE037CEA05B3}</b:Guid>
    <b:Author>
      <b:Author>
        <b:Corporate>Joubert, D., &amp; Al-Khouri, A.</b:Corporate>
      </b:Author>
    </b:Author>
    <b:Title>Exploring the role of conversational agents in enhancing student learning and engagement</b:Title>
    <b:JournalName>Journal of Educational Technology</b:JournalName>
    <b:Year>2023</b:Year>
    <b:Pages>45-58</b:Pages>
    <b:Volume>42</b:Volume>
    <b:Issue>1</b:Issue>
    <b:RefOrder>5</b:RefOrder>
  </b:Source>
  <b:Source>
    <b:Tag>Dav89</b:Tag>
    <b:SourceType>JournalArticle</b:SourceType>
    <b:Guid>{E2F7A097-36A4-4530-942E-09AA24240502}</b:Guid>
    <b:Author>
      <b:Author>
        <b:NameList>
          <b:Person>
            <b:Last>Davis</b:Last>
            <b:First>F.</b:First>
            <b:Middle>D.</b:Middle>
          </b:Person>
        </b:NameList>
      </b:Author>
    </b:Author>
    <b:Title>Perceived Usefulness, Perceived Ease of Use, and User Acceptance of Information Technology</b:Title>
    <b:JournalName>MIS Quarterly</b:JournalName>
    <b:Year>1989</b:Year>
    <b:Pages>319-340</b:Pages>
    <b:Volume>13</b:Volume>
    <b:Issue>3</b:Issue>
    <b:RefOrder>6</b:RefOrder>
  </b:Source>
  <b:Source>
    <b:Tag>Sag23</b:Tag>
    <b:SourceType>JournalArticle</b:SourceType>
    <b:Guid>{ED789BED-EEF8-424A-B2C3-D6BB49BDC8B1}</b:Guid>
    <b:Author>
      <b:Author>
        <b:Corporate>Sage Kelly, Sherrie-Anne Kaye, Oscar Oviedo-Trespalacios</b:Corporate>
      </b:Author>
    </b:Author>
    <b:Title>What factors contribute to the acceptance of artificial intelligence? A systematic review</b:Title>
    <b:JournalName>Telematics and Informatics</b:JournalName>
    <b:Year>2023</b:Year>
    <b:Volume>77</b:Volume>
    <b:StandardNumber>0736-5853</b:StandardNumber>
    <b:URL>https://doi.org/10.1016/j.tele.2022.101925</b:URL>
    <b:RefOrder>7</b:RefOrder>
  </b:Source>
  <b:Source>
    <b:Tag>Lab23</b:Tag>
    <b:SourceType>JournalArticle</b:SourceType>
    <b:Guid>{5B6AE30F-FA14-4279-B1E8-53634744F6C1}</b:Guid>
    <b:Author>
      <b:Author>
        <b:Corporate>Labadze, L., Grigolia, M. and Machaidze, L.</b:Corporate>
      </b:Author>
    </b:Author>
    <b:Title>Role of AI chatbots in education: systematic literature review</b:Title>
    <b:JournalName>Int J Educ Technol High Educ 20, 56</b:JournalName>
    <b:Year>2023</b:Year>
    <b:URL>https://doi.org/10.1186/s41239-023-00426-1</b:URL>
    <b:RefOrder>8</b:RefOrder>
  </b:Source>
  <b:Source>
    <b:Tag>LiW22</b:Tag>
    <b:SourceType>JournalArticle</b:SourceType>
    <b:Guid>{A2A53416-0B36-45F7-A3E7-C779707773A2}</b:Guid>
    <b:Author>
      <b:Author>
        <b:Corporate>Li, W., and Hsieh, J.</b:Corporate>
      </b:Author>
    </b:Author>
    <b:Title>Students' acceptance of chatbots in higher education: An extended technology acceptance model.</b:Title>
    <b:JournalName>Computers in Human Behavior</b:JournalName>
    <b:Year>2022</b:Year>
    <b:Volume>119</b:Volume>
    <b:Comments>Article no.:106715</b:Comments>
    <b:RefOrder>9</b:RefOrder>
  </b:Source>
  <b:Source>
    <b:Tag>Ven08</b:Tag>
    <b:SourceType>JournalArticle</b:SourceType>
    <b:Guid>{096B1BEC-3EC6-488D-93FE-4394540D2777}</b:Guid>
    <b:Author>
      <b:Author>
        <b:Corporate>Venkatesh, V., and Bala, H.</b:Corporate>
      </b:Author>
    </b:Author>
    <b:Title>Technology Acceptance Model 3 and a Research Agenda on Interventions</b:Title>
    <b:JournalName>Decision Sciences</b:JournalName>
    <b:Year>2008</b:Year>
    <b:Pages>273-315</b:Pages>
    <b:Volume>39</b:Volume>
    <b:Issue>2</b:Issue>
    <b:RefOrder>10</b:RefOrder>
  </b:Source>
  <b:Source>
    <b:Tag>Fie181</b:Tag>
    <b:SourceType>Book</b:SourceType>
    <b:Guid>{FF362DD0-58A5-4C5F-AE69-F11DC8E3841D}</b:Guid>
    <b:Author>
      <b:Author>
        <b:NameList>
          <b:Person>
            <b:Last>Field</b:Last>
            <b:First>A.</b:First>
            <b:Middle>P.</b:Middle>
          </b:Person>
        </b:NameList>
      </b:Author>
    </b:Author>
    <b:Title>Discovering statistics using IBM SPSS statistics</b:Title>
    <b:Year>2018</b:Year>
    <b:City>London; Thousand Oaks, California</b:City>
    <b:Publisher>SAGE Publications</b:Publisher>
    <b:Edition>5th</b:Edition>
    <b:RefOrder>4</b:RefOrder>
  </b:Source>
  <b:Source>
    <b:Tag>Sch191</b:Tag>
    <b:SourceType>Report</b:SourceType>
    <b:Guid>{2759EEEC-871E-419F-9C66-9D529E9F0F39}</b:Guid>
    <b:Author>
      <b:Author>
        <b:NameList>
          <b:Person>
            <b:Last>Schleicher</b:Last>
            <b:First>A.</b:First>
          </b:Person>
        </b:NameList>
      </b:Author>
    </b:Author>
    <b:Title>PISA 2018: Insights and Interpretations. OECD.</b:Title>
    <b:Year>2019</b:Year>
    <b:RefOrder>1</b:RefOrder>
  </b:Source>
  <b:Source>
    <b:Tag>Obi08</b:Tag>
    <b:SourceType>JournalArticle</b:SourceType>
    <b:Guid>{D728C687-DACA-4A09-8AF5-5D26A8A4F24C}</b:Guid>
    <b:Author>
      <b:Author>
        <b:NameList>
          <b:Person>
            <b:Last>Obikwere</b:Last>
            <b:First>F.</b:First>
          </b:Person>
        </b:NameList>
      </b:Author>
    </b:Author>
    <b:Title>Breaking the jinx in mathematics understand</b:Title>
    <b:Year>2008</b:Year>
    <b:JournalName>Daily Indep.</b:JournalName>
    <b:Volume>3</b:Volume>
    <b:Issue>3008.</b:Issue>
    <b:RefOrder>2</b:RefOrder>
  </b:Source>
  <b:Source>
    <b:Tag>Nik19</b:Tag>
    <b:SourceType>JournalArticle</b:SourceType>
    <b:Guid>{F88E6D6C-5DB8-49FD-9DF5-DA22A1612ACD}</b:Guid>
    <b:Author>
      <b:Author>
        <b:Corporate>Nikolić, V., Petković, D., Denić, N., Milovančević, M., and  Gavrilović, S.</b:Corporate>
      </b:Author>
    </b:Author>
    <b:Title>Appraisal and review of e-learning and ICT systems in teaching process</b:Title>
    <b:JournalName>Physica A: Statistical Mechanics and its Application</b:JournalName>
    <b:Year>2019</b:Year>
    <b:Pages>456-464</b:Pages>
    <b:Volume>513</b:Volume>
    <b:RefOrder>11</b:RefOrder>
  </b:Source>
  <b:Source>
    <b:Tag>Føl21</b:Tag>
    <b:SourceType>JournalArticle</b:SourceType>
    <b:Guid>{F7C259D7-4BF7-4FDA-946C-BF6A73E03DD0}</b:Guid>
    <b:Author>
      <b:Author>
        <b:Corporate>Følstad, A., and Brandtzaeg, P. B.</b:Corporate>
      </b:Author>
    </b:Author>
    <b:Title>Chatbots and conversational agents: A bibliometric analysis of research trends</b:Title>
    <b:JournalName>Computers in Human Behavior</b:JournalName>
    <b:Year>2021</b:Year>
    <b:Pages>106-119</b:Pages>
    <b:Volume>121</b:Volume>
    <b:RefOrder>12</b:RefOrder>
  </b:Source>
  <b:Source>
    <b:Tag>Zha231</b:Tag>
    <b:SourceType>JournalArticle</b:SourceType>
    <b:Guid>{D7E8EA47-F5CB-4A7B-838C-1E803878CA23}</b:Guid>
    <b:Author>
      <b:Author>
        <b:Corporate>Zhao, L., Wang, H., and Liu, F.</b:Corporate>
      </b:Author>
    </b:Author>
    <b:Title>Conversational agents in education: Benefits, challenges, and research trends</b:Title>
    <b:JournalName>Educational Technology Research and Development</b:JournalName>
    <b:Year>2023</b:Year>
    <b:Pages>123-145</b:Pages>
    <b:Volume>71</b:Volume>
    <b:Issue>1</b:Issue>
    <b:RefOrder>13</b:RefOrder>
  </b:Source>
  <b:Source>
    <b:Tag>Wah22</b:Tag>
    <b:SourceType>Book</b:SourceType>
    <b:Guid>{D5B86C8B-F4E3-4B62-B9DB-6A3FE2C31A4C}</b:Guid>
    <b:Author>
      <b:Author>
        <b:Corporate>Wahde, M., &amp; Virgolin, M.</b:Corporate>
      </b:Author>
    </b:Author>
    <b:Title>Conversational Agents: Theory and Applications. Handbook of Computer Learning and Intelligence - Volume 1</b:Title>
    <b:Year>2022</b:Year>
    <b:URL>arXiv:2202.03164.</b:URL>
    <b:RefOrder>14</b:RefOrder>
  </b:Source>
  <b:Source>
    <b:Tag>Gon19</b:Tag>
    <b:SourceType>ConferenceProceedings</b:SourceType>
    <b:Guid>{B4D54B2D-43CB-49FE-A34D-56B6D6C8BC31}</b:Guid>
    <b:Title>Evaluation of developing educational chatbots based on the seven principles for good teaching</b:Title>
    <b:Year>2019</b:Year>
    <b:Author>
      <b:Author>
        <b:Corporate>Gonda, D. E., Luo, J., Wong, Y. L., and Lei, C. U.</b:Corporate>
      </b:Author>
    </b:Author>
    <b:ConferenceName>2018 IEEE international conference on teaching, assessment, and learning for engineering, TALE2018</b:ConferenceName>
    <b:Pages>446 - 453</b:Pages>
    <b:City>Australia</b:City>
    <b:Publisher>IEEE</b:Publisher>
    <b:URL> https:// doi. org/ 10. 1109/ TALE. 2018. 86151 75</b:URL>
    <b:RefOrder>15</b:RefOrder>
  </b:Source>
  <b:Source>
    <b:Tag>Zho22</b:Tag>
    <b:SourceType>JournalArticle</b:SourceType>
    <b:Guid>{291C8270-2AB1-451D-8CD2-9A5788601328}</b:Guid>
    <b:Author>
      <b:Author>
        <b:Corporate>Zhou, M., Li, H., &amp; Chen, X.</b:Corporate>
      </b:Author>
    </b:Author>
    <b:Title>Applications of conversational agents in education: A review of recent advances and future directions</b:Title>
    <b:Pages>56-72</b:Pages>
    <b:Year>2022</b:Year>
    <b:JournalName>Educational Technology &amp; Society</b:JournalName>
    <b:Volume>25</b:Volume>
    <b:Issue>3</b:Issue>
    <b:RefOrder>16</b:RefOrder>
  </b:Source>
  <b:Source>
    <b:Tag>Cha23</b:Tag>
    <b:SourceType>JournalArticle</b:SourceType>
    <b:Guid>{9C231C62-B7B7-4C94-9AB0-A701FB6F800C}</b:Guid>
    <b:Author>
      <b:Author>
        <b:Corporate>Chai, S., &amp; Wong, P.</b:Corporate>
      </b:Author>
    </b:Author>
    <b:Title>Conversational agents in STEM education: Enhancing learning experiences through AI-driven interactions</b:Title>
    <b:JournalName>International Journal of Artificial Intelligence in Education,</b:JournalName>
    <b:Year>2023</b:Year>
    <b:Pages>125-139</b:Pages>
    <b:Volume>33</b:Volume>
    <b:Issue>2</b:Issue>
    <b:RefOrder>17</b:RefOrder>
  </b:Source>
  <b:Source>
    <b:Tag>Bog20</b:Tag>
    <b:SourceType>JournalArticle</b:SourceType>
    <b:Guid>{AB282268-5D75-4E74-8B79-52D89629C5BE}</b:Guid>
    <b:Author>
      <b:Author>
        <b:Corporate>Bogue, R., Smith, D., and Tully, C.</b:Corporate>
      </b:Author>
    </b:Author>
    <b:Title>Personalized Learning with Conversational Agents: A Case Study</b:Title>
    <b:JournalName>International Journal of Artificial Intelligence in Education</b:JournalName>
    <b:Year>2020</b:Year>
    <b:Pages>500-517</b:Pages>
    <b:Volume>30</b:Volume>
    <b:Issue>4</b:Issue>
    <b:RefOrder>18</b:RefOrder>
  </b:Source>
  <b:Source>
    <b:Tag>Dek20</b:Tag>
    <b:SourceType>JournalArticle</b:SourceType>
    <b:Guid>{3C4222C7-CDA7-44B2-8FA8-DFDFB231E258}</b:Guid>
    <b:Author>
      <b:Author>
        <b:Corporate>Dekker, I., De Jong, E. M., Schippers, M. C., De Bruijn-Smolders, M., Alexiou, A., &amp; Giesbers, B.</b:Corporate>
      </b:Author>
    </b:Author>
    <b:Title>Optimizing students’ mental health and academic performance: AI-enhanced life crafting. </b:Title>
    <b:JournalName>Frontiers in Psychology</b:JournalName>
    <b:Year>2020</b:Year>
    <b:Pages>1 - 15</b:Pages>
    <b:RefOrder>19</b:RefOrder>
  </b:Source>
  <b:Source>
    <b:Tag>Hsu22</b:Tag>
    <b:SourceType>JournalArticle</b:SourceType>
    <b:Guid>{4F4A44D6-E3ED-454C-9877-7F35A753EE78}</b:Guid>
    <b:Author>
      <b:Author>
        <b:Corporate>Hsu, H., et al.</b:Corporate>
      </b:Author>
    </b:Author>
    <b:Title>The impact of perceived ease of use and usefulness on student attitudes toward learning technologies</b:Title>
    <b:JournalName>Computers in Education</b:JournalName>
    <b:Year>2022</b:Year>
    <b:Volume>183</b:Volume>
    <b:DOI>https://doi.org/10.1016/j.compedu.2022.104410</b:DOI>
    <b:RefOrder>20</b:RefOrder>
  </b:Source>
  <b:Source>
    <b:Tag>Hsu23</b:Tag>
    <b:SourceType>JournalArticle</b:SourceType>
    <b:Guid>{EC7AEA4D-11A7-45DF-AA2E-BFACFD8186B2}</b:Guid>
    <b:Author>
      <b:Author>
        <b:Corporate>Hsu, T.-C., Huang, H.-L., Hwang, G.-J., &amp; Chen, M.-S.</b:Corporate>
      </b:Author>
    </b:Author>
    <b:Title>Effects of Incorporating an Expert Decision-making Mechanism into Chatbots on Students’ Achievement, Enjoyment, and Anxiety</b:Title>
    <b:JournalName>Educational Technology &amp; Society</b:JournalName>
    <b:Year>2023</b:Year>
    <b:Pages>218 - 231</b:Pages>
    <b:Volume>26</b:Volume>
    <b:Issue>1</b:Issue>
    <b:URL>https://www.jstor.org/stable/48707978</b:URL>
    <b:RefOrder>21</b:RefOrder>
  </b:Source>
  <b:Source>
    <b:Tag>Jou231</b:Tag>
    <b:SourceType>JournalArticle</b:SourceType>
    <b:Guid>{B74DDE09-CD14-4041-A0BF-0B8535684ABE}</b:Guid>
    <b:Author>
      <b:Author>
        <b:Corporate>Joubert, D., &amp; Al-Khouri, A.</b:Corporate>
      </b:Author>
    </b:Author>
    <b:Title>Exploring the role of conversational agents in enhancing student learning and engagement</b:Title>
    <b:JournalName>Journal of Educational Technology</b:JournalName>
    <b:Year>2023</b:Year>
    <b:Pages>45-58</b:Pages>
    <b:Volume>42</b:Volume>
    <b:Issue>1</b:Issue>
    <b:RefOrder>22</b:RefOrder>
  </b:Source>
  <b:Source>
    <b:Tag>Han22</b:Tag>
    <b:SourceType>JournalArticle</b:SourceType>
    <b:Guid>{6A1693F0-7C7F-4E79-8ED6-C71178FE92EA}</b:Guid>
    <b:Author>
      <b:Author>
        <b:Corporate>Han, S., &amp; Lee, M. K.</b:Corporate>
      </b:Author>
    </b:Author>
    <b:Title>FAQ chatbot and inclusive learning in massive open online courses</b:Title>
    <b:JournalName>Computers and Education</b:JournalName>
    <b:Year>2022</b:Year>
    <b:Volume>179</b:Volume>
    <b:URL>https://doi.org/10.1016/j.compedu.2021.104395 </b:URL>
    <b:RefOrder>23</b:RefOrder>
  </b:Source>
  <b:Source>
    <b:Tag>Pér20</b:Tag>
    <b:SourceType>JournalArticle</b:SourceType>
    <b:Guid>{560256FB-C274-44B6-A847-B04F29B7A477}</b:Guid>
    <b:Author>
      <b:Author>
        <b:Corporate>Pérez, J. Q., Daradoumis, T., &amp; Puig, J. M. M.</b:Corporate>
      </b:Author>
    </b:Author>
    <b:Title>Rediscovering the use of chatbots in education: A systematic literature review</b:Title>
    <b:JournalName>Computer Applications in Engineering Education</b:JournalName>
    <b:Year>2020</b:Year>
    <b:Pages>1549–1565</b:Pages>
    <b:Volume>28</b:Volume>
    <b:Issue>6</b:Issue>
    <b:DOI>https://doi.org/10.1002/cae.22326</b:DOI>
    <b:RefOrder>24</b:RefOrder>
  </b:Source>
  <b:Source>
    <b:Tag>Kuk23</b:Tag>
    <b:SourceType>Report</b:SourceType>
    <b:Guid>{9CAF8871-7CE1-4CF0-9F4C-9911104A78B0}</b:Guid>
    <b:Author>
      <b:Author>
        <b:Corporate>Kukulska-Hulme, A., Bossu, C., Charitonos, K., Coughlan, T., Deacon, A., Deane, N., Ferguson, R., Herodotou, C., Huang, C.-W., Mayisela, T., Rets, I., Sargent, J., Scanlon, E., Small, J., Walji, S., Weller, M., &amp; Whitelock, D.</b:Corporate>
      </b:Author>
    </b:Author>
    <b:Title>Innovating Pedagogy 2023: Open University Innovation Report 11</b:Title>
    <b:JournalName>Innovating Pedagogy 2023: Open University Innovation Report 11. The Open University, Milton Keynes</b:JournalName>
    <b:Year>2023</b:Year>
    <b:Publisher>The Open University</b:Publisher>
    <b:City>Milton Keynes</b:City>
    <b:Institution>The Open University</b:Institution>
    <b:RefOrder>25</b:RefOrder>
  </b:Source>
  <b:Source>
    <b:Tag>Rea23</b:Tag>
    <b:SourceType>InternetSite</b:SourceType>
    <b:Guid>{E92E497C-BC20-4D60-9082-7976BC141BB4}</b:Guid>
    <b:Title>The Importance of Identifying the Right Sample Size for Business Improvement</b:Title>
    <b:Year>2023</b:Year>
    <b:Author>
      <b:Author>
        <b:NameList>
          <b:Person>
            <b:Last>Reagan Pannell April 5</b:Last>
            <b:First>2023.</b:First>
          </b:Person>
        </b:NameList>
      </b:Author>
    </b:Author>
    <b:InternetSiteTitle>Leanscape</b:InternetSiteTitle>
    <b:Month>April</b:Month>
    <b:Day>5</b:Day>
    <b:URL>https://leanscape.io/the-importance-of-identifying-the-right-sample-size-for-business-improvement/#:~:text=Why%20is%2030%20the%20minimum,as%20the%20sample%20size%20increases.</b:URL>
    <b:RefOrder>3</b:RefOrder>
  </b:Source>
</b:Sourc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CB72E9-89FE-4DA0-A1D8-CEB0B7A71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7</Pages>
  <Words>4266</Words>
  <Characters>24317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3</cp:revision>
  <cp:lastPrinted>2025-10-03T13:57:00Z</cp:lastPrinted>
  <dcterms:created xsi:type="dcterms:W3CDTF">2025-10-03T13:57:00Z</dcterms:created>
  <dcterms:modified xsi:type="dcterms:W3CDTF">2025-10-03T13:57:00Z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ca2506d7-5d33-4562-9e18-5b58550d5c6b</vt:lpwstr>
  </property>
</Properties>
</file>